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8A0DB1">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8A0DB1">
      <w:pPr>
        <w:pStyle w:val="western"/>
        <w:spacing w:before="480" w:beforeAutospacing="0" w:after="0"/>
        <w:rPr>
          <w:rFonts w:ascii="Arial" w:hAnsi="Arial" w:cs="Arial"/>
        </w:rPr>
      </w:pPr>
      <w:r w:rsidRPr="00D9083B">
        <w:rPr>
          <w:rFonts w:ascii="Arial" w:hAnsi="Arial" w:cs="Arial"/>
          <w:b/>
          <w:bCs/>
        </w:rPr>
        <w:t>1. OBJETO</w:t>
      </w:r>
    </w:p>
    <w:p w:rsidR="004167A1" w:rsidRPr="00D9083B" w:rsidRDefault="00807263" w:rsidP="008A0DB1">
      <w:pPr>
        <w:pStyle w:val="western"/>
        <w:spacing w:before="120" w:beforeAutospacing="0" w:after="0"/>
        <w:ind w:firstLine="567"/>
        <w:jc w:val="both"/>
        <w:rPr>
          <w:rFonts w:ascii="Arial" w:hAnsi="Arial" w:cs="Arial"/>
          <w:b/>
          <w:bCs/>
        </w:rPr>
      </w:pPr>
      <w:r>
        <w:rPr>
          <w:rFonts w:ascii="Arial" w:hAnsi="Arial" w:cs="Arial"/>
          <w:b/>
        </w:rPr>
        <w:t xml:space="preserve">Aquisição de </w:t>
      </w:r>
      <w:r w:rsidR="008E56D5">
        <w:rPr>
          <w:rFonts w:ascii="Arial" w:hAnsi="Arial" w:cs="Arial"/>
          <w:b/>
        </w:rPr>
        <w:t xml:space="preserve">Cádmio Granulado, Cloreto de Sódio, Óleo de Silicone, Solução de Pepsina, Solução de Tiuréia, Sulfanilamida, KIT Manganês, Spectroquant Ferro, </w:t>
      </w:r>
      <w:r w:rsidR="001775AD">
        <w:rPr>
          <w:rFonts w:ascii="Arial" w:hAnsi="Arial" w:cs="Arial"/>
          <w:b/>
        </w:rPr>
        <w:t>Sulfato de M</w:t>
      </w:r>
      <w:r w:rsidR="008E56D5">
        <w:rPr>
          <w:rFonts w:ascii="Arial" w:hAnsi="Arial" w:cs="Arial"/>
          <w:b/>
        </w:rPr>
        <w:t>ercúrio</w:t>
      </w:r>
      <w:r w:rsidR="00FD1EE5">
        <w:rPr>
          <w:rFonts w:ascii="Arial" w:hAnsi="Arial" w:cs="Arial"/>
          <w:b/>
        </w:rPr>
        <w:t xml:space="preserve"> e Reagente de KOVACS, </w:t>
      </w:r>
      <w:r>
        <w:rPr>
          <w:rFonts w:ascii="Arial" w:hAnsi="Arial" w:cs="Arial"/>
          <w:b/>
        </w:rPr>
        <w:t>para o Laboratório Central da CESAMA</w:t>
      </w:r>
      <w:r w:rsidR="00FD1EE5">
        <w:rPr>
          <w:rFonts w:ascii="Arial" w:hAnsi="Arial" w:cs="Arial"/>
          <w:b/>
        </w:rPr>
        <w:t>.</w:t>
      </w:r>
    </w:p>
    <w:p w:rsidR="00366084" w:rsidRPr="00D9083B" w:rsidRDefault="00366084" w:rsidP="008A0DB1">
      <w:pPr>
        <w:pStyle w:val="western"/>
        <w:spacing w:before="480" w:beforeAutospacing="0" w:after="0"/>
        <w:rPr>
          <w:rFonts w:ascii="Arial" w:hAnsi="Arial" w:cs="Arial"/>
        </w:rPr>
      </w:pPr>
      <w:r w:rsidRPr="00D9083B">
        <w:rPr>
          <w:rFonts w:ascii="Arial" w:hAnsi="Arial" w:cs="Arial"/>
          <w:b/>
          <w:bCs/>
        </w:rPr>
        <w:t>2. JUSTIFICATIVAS</w:t>
      </w:r>
    </w:p>
    <w:p w:rsidR="00366084" w:rsidRPr="00D9083B" w:rsidRDefault="00647D35" w:rsidP="00243DE8">
      <w:pPr>
        <w:pStyle w:val="western"/>
        <w:spacing w:before="120" w:beforeAutospacing="0" w:after="0" w:line="276" w:lineRule="auto"/>
        <w:ind w:firstLine="567"/>
        <w:jc w:val="both"/>
        <w:rPr>
          <w:rFonts w:ascii="Arial" w:hAnsi="Arial" w:cs="Arial"/>
        </w:rPr>
      </w:pPr>
      <w:r>
        <w:rPr>
          <w:rFonts w:ascii="Arial" w:hAnsi="Arial" w:cs="Arial"/>
        </w:rPr>
        <w:t>Os produtos</w:t>
      </w:r>
      <w:r w:rsidR="00812434" w:rsidRPr="00D9083B">
        <w:rPr>
          <w:rFonts w:ascii="Arial" w:hAnsi="Arial" w:cs="Arial"/>
        </w:rPr>
        <w:t xml:space="preserve"> </w:t>
      </w:r>
      <w:r>
        <w:rPr>
          <w:rFonts w:ascii="Arial" w:hAnsi="Arial" w:cs="Arial"/>
        </w:rPr>
        <w:t>a serem adquiridos são utilizado</w:t>
      </w:r>
      <w:r w:rsidR="00812434" w:rsidRPr="00D9083B">
        <w:rPr>
          <w:rFonts w:ascii="Arial" w:hAnsi="Arial" w:cs="Arial"/>
        </w:rPr>
        <w:t xml:space="preserve">s rotineiramente pelo Laboratório Central </w:t>
      </w:r>
      <w:r w:rsidR="00250153">
        <w:rPr>
          <w:rFonts w:ascii="Arial" w:hAnsi="Arial" w:cs="Arial"/>
        </w:rPr>
        <w:t>em</w:t>
      </w:r>
      <w:r w:rsidR="004C6B6B">
        <w:rPr>
          <w:rFonts w:ascii="Arial" w:hAnsi="Arial" w:cs="Arial"/>
        </w:rPr>
        <w:t xml:space="preserve"> análises f</w:t>
      </w:r>
      <w:r w:rsidR="00807263">
        <w:rPr>
          <w:rFonts w:ascii="Arial" w:hAnsi="Arial" w:cs="Arial"/>
        </w:rPr>
        <w:t>ísico-químicas</w:t>
      </w:r>
      <w:r w:rsidR="00812434" w:rsidRPr="00D9083B">
        <w:rPr>
          <w:rFonts w:ascii="Arial" w:hAnsi="Arial" w:cs="Arial"/>
        </w:rPr>
        <w:t>.</w:t>
      </w:r>
    </w:p>
    <w:p w:rsidR="00366084" w:rsidRPr="00D9083B" w:rsidRDefault="00D9083B" w:rsidP="00243DE8">
      <w:pPr>
        <w:pStyle w:val="western"/>
        <w:spacing w:before="120" w:beforeAutospacing="0" w:after="0" w:line="276"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8A0DB1">
      <w:pPr>
        <w:pStyle w:val="western"/>
        <w:spacing w:before="480" w:beforeAutospacing="0" w:after="0"/>
        <w:rPr>
          <w:rFonts w:ascii="Arial" w:hAnsi="Arial" w:cs="Arial"/>
        </w:rPr>
      </w:pPr>
      <w:r w:rsidRPr="00D9083B">
        <w:rPr>
          <w:rFonts w:ascii="Arial" w:hAnsi="Arial" w:cs="Arial"/>
          <w:b/>
          <w:bCs/>
        </w:rPr>
        <w:t>3. RECURSOS FINANCEIROS</w:t>
      </w:r>
    </w:p>
    <w:p w:rsidR="00BB3D69" w:rsidRPr="00D9083B" w:rsidRDefault="00366084" w:rsidP="008A0DB1">
      <w:pPr>
        <w:pStyle w:val="western"/>
        <w:spacing w:before="120" w:beforeAutospacing="0" w:after="0"/>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6C62E0"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396134" w:rsidRDefault="00396134" w:rsidP="00396134">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color w:val="000000"/>
          <w:sz w:val="16"/>
          <w:szCs w:val="16"/>
        </w:rPr>
      </w:pPr>
      <w:r>
        <w:rPr>
          <w:rFonts w:cs="Arial"/>
          <w:b/>
          <w:bCs/>
          <w:snapToGrid w:val="0"/>
          <w:color w:val="000000"/>
          <w:sz w:val="16"/>
          <w:szCs w:val="16"/>
        </w:rPr>
        <w:t>Req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Pr>
          <w:rFonts w:cs="Arial"/>
          <w:b/>
          <w:bCs/>
          <w:snapToGrid w:val="0"/>
          <w:color w:val="000000"/>
          <w:sz w:val="16"/>
          <w:szCs w:val="16"/>
        </w:rPr>
        <w:t>Unidade</w:t>
      </w:r>
      <w:r>
        <w:rPr>
          <w:rFonts w:cs="Arial"/>
          <w:sz w:val="24"/>
          <w:szCs w:val="24"/>
        </w:rPr>
        <w:t xml:space="preserve">      </w:t>
      </w:r>
      <w:r>
        <w:rPr>
          <w:rFonts w:cs="Arial"/>
          <w:b/>
          <w:bCs/>
          <w:snapToGrid w:val="0"/>
          <w:color w:val="000000"/>
          <w:sz w:val="16"/>
          <w:szCs w:val="16"/>
        </w:rPr>
        <w:t>Quantidade</w:t>
      </w:r>
    </w:p>
    <w:p w:rsidR="00396134" w:rsidRDefault="00396134" w:rsidP="00396134">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Pr>
          <w:rFonts w:cs="Arial"/>
          <w:sz w:val="24"/>
          <w:szCs w:val="24"/>
        </w:rPr>
        <w:tab/>
      </w:r>
    </w:p>
    <w:p w:rsidR="00396134" w:rsidRPr="00396134" w:rsidRDefault="00396134" w:rsidP="00396134">
      <w:pPr>
        <w:widowControl w:val="0"/>
        <w:autoSpaceDE w:val="0"/>
        <w:autoSpaceDN w:val="0"/>
        <w:adjustRightInd w:val="0"/>
        <w:spacing w:line="62" w:lineRule="exact"/>
        <w:rPr>
          <w:rFonts w:cs="Arial"/>
          <w:sz w:val="16"/>
          <w:szCs w:val="16"/>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r w:rsidRPr="00396134">
        <w:rPr>
          <w:rFonts w:cs="Arial"/>
          <w:snapToGrid w:val="0"/>
          <w:color w:val="000000"/>
          <w:sz w:val="16"/>
          <w:szCs w:val="16"/>
        </w:rPr>
        <w:t>1 - 56516-</w:t>
      </w:r>
      <w:r w:rsidRPr="00396134">
        <w:rPr>
          <w:rFonts w:cs="Arial"/>
          <w:sz w:val="16"/>
          <w:szCs w:val="16"/>
        </w:rPr>
        <w:tab/>
      </w:r>
      <w:r w:rsidRPr="00396134">
        <w:rPr>
          <w:rFonts w:cs="Arial"/>
          <w:snapToGrid w:val="0"/>
          <w:color w:val="000000"/>
          <w:sz w:val="16"/>
          <w:szCs w:val="16"/>
        </w:rPr>
        <w:t>002.081.0001-6</w:t>
      </w:r>
      <w:r w:rsidRPr="00396134">
        <w:rPr>
          <w:rFonts w:cs="Arial"/>
          <w:sz w:val="16"/>
          <w:szCs w:val="16"/>
        </w:rPr>
        <w:tab/>
      </w:r>
      <w:r w:rsidRPr="00396134">
        <w:rPr>
          <w:rFonts w:cs="Arial"/>
          <w:snapToGrid w:val="0"/>
          <w:color w:val="000000"/>
          <w:sz w:val="16"/>
          <w:szCs w:val="16"/>
        </w:rPr>
        <w:t>CADMIO GRANULAD</w:t>
      </w:r>
      <w:r>
        <w:rPr>
          <w:rFonts w:cs="Arial"/>
          <w:snapToGrid w:val="0"/>
          <w:color w:val="000000"/>
          <w:sz w:val="16"/>
          <w:szCs w:val="16"/>
        </w:rPr>
        <w:t>O</w:t>
      </w:r>
      <w:r w:rsidRPr="00396134">
        <w:rPr>
          <w:rFonts w:cs="Arial"/>
          <w:snapToGrid w:val="0"/>
          <w:color w:val="000000"/>
          <w:sz w:val="16"/>
          <w:szCs w:val="16"/>
        </w:rPr>
        <w:t xml:space="preserve">                                                            </w:t>
      </w:r>
      <w:r>
        <w:rPr>
          <w:rFonts w:cs="Arial"/>
          <w:snapToGrid w:val="0"/>
          <w:color w:val="000000"/>
          <w:sz w:val="16"/>
          <w:szCs w:val="16"/>
        </w:rPr>
        <w:t xml:space="preserve">Fr                   </w:t>
      </w:r>
      <w:r>
        <w:rPr>
          <w:rFonts w:cs="Arial"/>
          <w:sz w:val="24"/>
          <w:szCs w:val="24"/>
        </w:rPr>
        <w:t xml:space="preserve"> </w:t>
      </w:r>
      <w:r>
        <w:rPr>
          <w:rFonts w:cs="Arial"/>
          <w:snapToGrid w:val="0"/>
          <w:color w:val="000000"/>
          <w:sz w:val="16"/>
          <w:szCs w:val="16"/>
        </w:rPr>
        <w:t>1</w:t>
      </w: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z w:val="24"/>
          <w:szCs w:val="24"/>
        </w:rPr>
        <w:tab/>
      </w: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7440-43-9 FORMULA:CD EMBALAGEM: 250 GR </w:t>
      </w:r>
      <w:r>
        <w:rPr>
          <w:rFonts w:cs="Arial"/>
          <w:sz w:val="24"/>
          <w:szCs w:val="24"/>
        </w:rPr>
        <w:tab/>
      </w:r>
      <w:r>
        <w:rPr>
          <w:rFonts w:cs="Arial"/>
          <w:sz w:val="24"/>
          <w:szCs w:val="24"/>
        </w:rPr>
        <w:tab/>
      </w: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2- 56516-</w:t>
      </w:r>
      <w:r>
        <w:rPr>
          <w:rFonts w:cs="Arial"/>
          <w:sz w:val="24"/>
          <w:szCs w:val="24"/>
        </w:rPr>
        <w:tab/>
      </w:r>
      <w:r>
        <w:rPr>
          <w:rFonts w:cs="Arial"/>
          <w:snapToGrid w:val="0"/>
          <w:color w:val="000000"/>
          <w:sz w:val="16"/>
          <w:szCs w:val="16"/>
        </w:rPr>
        <w:t>002.033.0001-7</w:t>
      </w:r>
      <w:r>
        <w:rPr>
          <w:rFonts w:cs="Arial"/>
          <w:sz w:val="24"/>
          <w:szCs w:val="24"/>
        </w:rPr>
        <w:tab/>
      </w:r>
      <w:r>
        <w:rPr>
          <w:rFonts w:cs="Arial"/>
          <w:snapToGrid w:val="0"/>
          <w:color w:val="000000"/>
          <w:sz w:val="16"/>
          <w:szCs w:val="16"/>
        </w:rPr>
        <w:t>CLORETO DE SODIO P.A</w:t>
      </w:r>
      <w:r>
        <w:rPr>
          <w:rFonts w:cs="Arial"/>
          <w:sz w:val="24"/>
          <w:szCs w:val="24"/>
        </w:rPr>
        <w:t xml:space="preserve">                                      </w:t>
      </w:r>
      <w:r>
        <w:rPr>
          <w:rFonts w:cs="Arial"/>
          <w:snapToGrid w:val="0"/>
          <w:color w:val="000000"/>
          <w:sz w:val="16"/>
          <w:szCs w:val="16"/>
        </w:rPr>
        <w:t>KG</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500 g</w:t>
      </w:r>
      <w:r>
        <w:rPr>
          <w:rFonts w:cs="Arial"/>
          <w:sz w:val="24"/>
          <w:szCs w:val="24"/>
        </w:rPr>
        <w:tab/>
      </w:r>
      <w:r>
        <w:rPr>
          <w:rFonts w:cs="Arial"/>
          <w:sz w:val="24"/>
          <w:szCs w:val="24"/>
        </w:rPr>
        <w:tab/>
      </w: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Pureza (NaCl) (por titulação com Ag)    min.99,0 %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pH da solução 5 % a 25°C    5,0-9,0</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Matéria insolúvel    max.0,005 %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Iodo (I)    max. 0,002 %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Bromo (Br)    max. 0,01 %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Cloreto e Nitrato (como NO3)    max.0,003 %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Fosfato (PO4)    max. 5ppm</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Sulfato (SO4)    max. 0,004 %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Bário (Ba)    Passa no teste</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Metais pesados (como Pb)    max. 5ppm</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Ferro (Fe)    max. 2ppm</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Cálcio (Ca)    max. 0,002 %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Magnésio (Mg)    max. 0,001 %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Potássio (K)    max. 0,005 %</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OBS: Produto em forma de cristais.  500 GRAMAS</w:t>
      </w:r>
    </w:p>
    <w:p w:rsidR="00374680" w:rsidRDefault="00374680" w:rsidP="00396134">
      <w:pPr>
        <w:widowControl w:val="0"/>
        <w:tabs>
          <w:tab w:val="left" w:pos="1545"/>
        </w:tabs>
        <w:autoSpaceDE w:val="0"/>
        <w:autoSpaceDN w:val="0"/>
        <w:adjustRightInd w:val="0"/>
        <w:spacing w:line="148" w:lineRule="exact"/>
        <w:rPr>
          <w:rFonts w:cs="Arial"/>
          <w:sz w:val="24"/>
          <w:szCs w:val="24"/>
        </w:rPr>
      </w:pPr>
    </w:p>
    <w:p w:rsidR="00FB37B6" w:rsidRDefault="00396134" w:rsidP="008A0DB1">
      <w:pPr>
        <w:widowControl w:val="0"/>
        <w:autoSpaceDE w:val="0"/>
        <w:autoSpaceDN w:val="0"/>
        <w:adjustRightInd w:val="0"/>
        <w:rPr>
          <w:rFonts w:cs="Arial"/>
          <w:sz w:val="24"/>
          <w:szCs w:val="24"/>
        </w:rPr>
      </w:pPr>
      <w:r>
        <w:rPr>
          <w:rFonts w:cs="Arial"/>
          <w:sz w:val="24"/>
          <w:szCs w:val="24"/>
        </w:rPr>
        <w:t xml:space="preserve"> </w:t>
      </w:r>
    </w:p>
    <w:p w:rsidR="00FB37B6" w:rsidRDefault="00FB37B6" w:rsidP="008A0DB1">
      <w:pPr>
        <w:widowControl w:val="0"/>
        <w:autoSpaceDE w:val="0"/>
        <w:autoSpaceDN w:val="0"/>
        <w:adjustRightInd w:val="0"/>
        <w:rPr>
          <w:rFonts w:cs="Arial"/>
          <w:sz w:val="24"/>
          <w:szCs w:val="24"/>
        </w:rPr>
      </w:pPr>
    </w:p>
    <w:p w:rsidR="00396134" w:rsidRDefault="00396134" w:rsidP="008A0DB1">
      <w:pPr>
        <w:widowControl w:val="0"/>
        <w:autoSpaceDE w:val="0"/>
        <w:autoSpaceDN w:val="0"/>
        <w:adjustRightInd w:val="0"/>
        <w:rPr>
          <w:rFonts w:cs="Arial"/>
          <w:sz w:val="24"/>
          <w:szCs w:val="24"/>
        </w:rPr>
      </w:pPr>
      <w:r>
        <w:rPr>
          <w:rFonts w:cs="Arial"/>
          <w:snapToGrid w:val="0"/>
          <w:color w:val="000000"/>
          <w:sz w:val="16"/>
          <w:szCs w:val="16"/>
        </w:rPr>
        <w:t>3- 56516-</w:t>
      </w:r>
      <w:r>
        <w:rPr>
          <w:rFonts w:cs="Arial"/>
          <w:sz w:val="24"/>
          <w:szCs w:val="24"/>
        </w:rPr>
        <w:tab/>
      </w:r>
      <w:r>
        <w:rPr>
          <w:rFonts w:cs="Arial"/>
          <w:snapToGrid w:val="0"/>
          <w:color w:val="000000"/>
          <w:sz w:val="16"/>
          <w:szCs w:val="16"/>
        </w:rPr>
        <w:t>002.166.0002-2</w:t>
      </w:r>
      <w:r>
        <w:rPr>
          <w:rFonts w:cs="Arial"/>
          <w:sz w:val="24"/>
          <w:szCs w:val="24"/>
        </w:rPr>
        <w:tab/>
      </w:r>
      <w:r>
        <w:rPr>
          <w:rFonts w:cs="Arial"/>
          <w:snapToGrid w:val="0"/>
          <w:color w:val="000000"/>
          <w:sz w:val="16"/>
          <w:szCs w:val="16"/>
        </w:rPr>
        <w:t>OLEO DE SILICONE PARA TURBIDEZ</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6</w:t>
      </w: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OLEO DE SILICONE FORNECIDO EM FRASCOS C/ 15ML CAT: 1269-36 REF.: HACH</w:t>
      </w:r>
      <w:r>
        <w:rPr>
          <w:rFonts w:cs="Arial"/>
          <w:sz w:val="24"/>
          <w:szCs w:val="24"/>
        </w:rPr>
        <w:tab/>
      </w:r>
    </w:p>
    <w:p w:rsidR="00396134" w:rsidRDefault="00396134" w:rsidP="008A0DB1">
      <w:pPr>
        <w:widowControl w:val="0"/>
        <w:tabs>
          <w:tab w:val="left" w:pos="0"/>
          <w:tab w:val="left" w:pos="3675"/>
        </w:tabs>
        <w:autoSpaceDE w:val="0"/>
        <w:autoSpaceDN w:val="0"/>
        <w:adjustRightInd w:val="0"/>
        <w:spacing w:line="239" w:lineRule="exact"/>
        <w:rPr>
          <w:rFonts w:cs="Arial"/>
          <w:sz w:val="24"/>
          <w:szCs w:val="24"/>
        </w:rPr>
      </w:pPr>
      <w:r>
        <w:rPr>
          <w:rFonts w:cs="Arial"/>
          <w:snapToGrid w:val="0"/>
          <w:color w:val="000000"/>
          <w:sz w:val="16"/>
          <w:szCs w:val="16"/>
        </w:rPr>
        <w:t xml:space="preserve"> 4- 56516-</w:t>
      </w:r>
      <w:r w:rsidR="008A0DB1">
        <w:rPr>
          <w:rFonts w:cs="Arial"/>
          <w:snapToGrid w:val="0"/>
          <w:color w:val="000000"/>
          <w:sz w:val="16"/>
          <w:szCs w:val="16"/>
        </w:rPr>
        <w:t xml:space="preserve"> </w:t>
      </w:r>
      <w:r>
        <w:rPr>
          <w:rFonts w:cs="Arial"/>
          <w:snapToGrid w:val="0"/>
          <w:color w:val="000000"/>
          <w:sz w:val="16"/>
          <w:szCs w:val="16"/>
        </w:rPr>
        <w:t>002.140.0020-6</w:t>
      </w:r>
      <w:r>
        <w:rPr>
          <w:rFonts w:cs="Arial"/>
          <w:sz w:val="24"/>
          <w:szCs w:val="24"/>
        </w:rPr>
        <w:t xml:space="preserve"> </w:t>
      </w:r>
      <w:r>
        <w:rPr>
          <w:rFonts w:cs="Arial"/>
          <w:snapToGrid w:val="0"/>
          <w:color w:val="000000"/>
          <w:sz w:val="16"/>
          <w:szCs w:val="16"/>
        </w:rPr>
        <w:t>SOLUCAO DE PEPSINA (P/ LIMPEZA DE ELETRODO DE PH)</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FRASCO C/ 250ML MARCA  DIGIMED. COMPATíVEL COM PHMETRO DA MESMA</w:t>
      </w:r>
      <w:r>
        <w:rPr>
          <w:rFonts w:cs="Arial"/>
          <w:sz w:val="24"/>
          <w:szCs w:val="24"/>
        </w:rPr>
        <w:tab/>
      </w: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MARCA DISPONIVEL NO LABORATORIO, SEGUINDO-SE DESTA FORMA A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RECOMENDAçãO DO FABRICANTE.</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5- 56516-</w:t>
      </w:r>
      <w:r>
        <w:rPr>
          <w:rFonts w:cs="Arial"/>
          <w:sz w:val="24"/>
          <w:szCs w:val="24"/>
        </w:rPr>
        <w:tab/>
      </w:r>
      <w:r>
        <w:rPr>
          <w:rFonts w:cs="Arial"/>
          <w:snapToGrid w:val="0"/>
          <w:color w:val="000000"/>
          <w:sz w:val="16"/>
          <w:szCs w:val="16"/>
        </w:rPr>
        <w:t>002.140.0021-4</w:t>
      </w:r>
      <w:r>
        <w:rPr>
          <w:rFonts w:cs="Arial"/>
          <w:sz w:val="24"/>
          <w:szCs w:val="24"/>
        </w:rPr>
        <w:t xml:space="preserve">  </w:t>
      </w:r>
      <w:r>
        <w:rPr>
          <w:rFonts w:cs="Arial"/>
          <w:snapToGrid w:val="0"/>
          <w:color w:val="000000"/>
          <w:sz w:val="16"/>
          <w:szCs w:val="16"/>
        </w:rPr>
        <w:t>SOLUCAO TIOUREIA (P/ LIMPEZA DE ELETRODO DE PH)</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FRASCO C/ 250ML MARCA DIGIMED. COMPATíVEL COM PHMETRO DA MESMA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MARCA DISPONí VEL NO LABORATóRIO, SEGUINDO-SE  DESTA FORMA A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RECOMENDAçãO DO FABRICANTE.</w:t>
      </w: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6- 56516-</w:t>
      </w:r>
      <w:r>
        <w:rPr>
          <w:rFonts w:cs="Arial"/>
          <w:sz w:val="24"/>
          <w:szCs w:val="24"/>
        </w:rPr>
        <w:tab/>
      </w:r>
      <w:r>
        <w:rPr>
          <w:rFonts w:cs="Arial"/>
          <w:snapToGrid w:val="0"/>
          <w:color w:val="000000"/>
          <w:sz w:val="16"/>
          <w:szCs w:val="16"/>
        </w:rPr>
        <w:t>002.154.0009-7</w:t>
      </w:r>
      <w:r>
        <w:rPr>
          <w:rFonts w:cs="Arial"/>
          <w:sz w:val="24"/>
          <w:szCs w:val="24"/>
        </w:rPr>
        <w:tab/>
      </w:r>
      <w:r>
        <w:rPr>
          <w:rFonts w:cs="Arial"/>
          <w:snapToGrid w:val="0"/>
          <w:color w:val="000000"/>
          <w:sz w:val="16"/>
          <w:szCs w:val="16"/>
        </w:rPr>
        <w:t>SULFANILAMIDA</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63-74-1 FORMULA: 4-NH2C6H4SO2NH2 EMBALAGEM: 100GR </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7- 56516-</w:t>
      </w:r>
      <w:r>
        <w:rPr>
          <w:rFonts w:cs="Arial"/>
          <w:sz w:val="24"/>
          <w:szCs w:val="24"/>
        </w:rPr>
        <w:tab/>
      </w:r>
      <w:r>
        <w:rPr>
          <w:rFonts w:cs="Arial"/>
          <w:snapToGrid w:val="0"/>
          <w:color w:val="000000"/>
          <w:sz w:val="16"/>
          <w:szCs w:val="16"/>
        </w:rPr>
        <w:t>002.116.0003-0</w:t>
      </w:r>
      <w:r>
        <w:rPr>
          <w:rFonts w:cs="Arial"/>
          <w:sz w:val="24"/>
          <w:szCs w:val="24"/>
        </w:rPr>
        <w:tab/>
      </w:r>
      <w:r>
        <w:rPr>
          <w:rFonts w:cs="Arial"/>
          <w:snapToGrid w:val="0"/>
          <w:color w:val="000000"/>
          <w:sz w:val="16"/>
          <w:szCs w:val="16"/>
        </w:rPr>
        <w:t>KIT MANGANES</w:t>
      </w:r>
      <w:r>
        <w:rPr>
          <w:rFonts w:cs="Arial"/>
          <w:sz w:val="24"/>
          <w:szCs w:val="24"/>
        </w:rPr>
        <w:t xml:space="preserve">                                                      </w:t>
      </w:r>
      <w:r>
        <w:rPr>
          <w:rFonts w:cs="Arial"/>
          <w:snapToGrid w:val="0"/>
          <w:color w:val="000000"/>
          <w:sz w:val="16"/>
          <w:szCs w:val="16"/>
        </w:rPr>
        <w:t>KIT</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tbl>
      <w:tblPr>
        <w:tblW w:w="9255" w:type="dxa"/>
        <w:tblInd w:w="49" w:type="dxa"/>
        <w:tblLayout w:type="fixed"/>
        <w:tblCellMar>
          <w:top w:w="55" w:type="dxa"/>
          <w:left w:w="55" w:type="dxa"/>
          <w:bottom w:w="55" w:type="dxa"/>
          <w:right w:w="55" w:type="dxa"/>
        </w:tblCellMar>
        <w:tblLook w:val="04A0"/>
      </w:tblPr>
      <w:tblGrid>
        <w:gridCol w:w="4598"/>
        <w:gridCol w:w="1818"/>
        <w:gridCol w:w="2695"/>
        <w:gridCol w:w="144"/>
      </w:tblGrid>
      <w:tr w:rsidR="008A0DB1" w:rsidRPr="007979A7" w:rsidTr="003735D9">
        <w:trPr>
          <w:gridAfter w:val="1"/>
          <w:wAfter w:w="20" w:type="dxa"/>
          <w:trHeight w:val="340"/>
        </w:trPr>
        <w:tc>
          <w:tcPr>
            <w:tcW w:w="4664" w:type="dxa"/>
            <w:tcBorders>
              <w:right w:val="nil"/>
            </w:tcBorders>
            <w:vAlign w:val="center"/>
            <w:hideMark/>
          </w:tcPr>
          <w:p w:rsidR="008A0DB1" w:rsidRPr="007979A7" w:rsidRDefault="008A0DB1" w:rsidP="003735D9">
            <w:pPr>
              <w:suppressAutoHyphens w:val="0"/>
              <w:snapToGrid w:val="0"/>
              <w:jc w:val="left"/>
              <w:rPr>
                <w:rFonts w:ascii="Times New Roman" w:hAnsi="Times New Roman"/>
                <w:sz w:val="16"/>
                <w:szCs w:val="16"/>
                <w:lang w:eastAsia="pt-BR"/>
              </w:rPr>
            </w:pPr>
            <w:r w:rsidRPr="007979A7">
              <w:rPr>
                <w:rFonts w:cs="Arial"/>
                <w:b/>
                <w:sz w:val="16"/>
                <w:szCs w:val="16"/>
                <w:lang w:eastAsia="pt-BR"/>
              </w:rPr>
              <w:t>Faixa:</w:t>
            </w:r>
            <w:r w:rsidRPr="007979A7">
              <w:rPr>
                <w:rFonts w:cs="Arial"/>
                <w:sz w:val="16"/>
                <w:szCs w:val="16"/>
                <w:lang w:eastAsia="pt-BR"/>
              </w:rPr>
              <w:t xml:space="preserve"> 0,01 a 10,0 mg/L Mn</w:t>
            </w:r>
          </w:p>
        </w:tc>
        <w:tc>
          <w:tcPr>
            <w:tcW w:w="1843" w:type="dxa"/>
            <w:tcBorders>
              <w:left w:val="nil"/>
              <w:right w:val="nil"/>
            </w:tcBorders>
            <w:vAlign w:val="center"/>
            <w:hideMark/>
          </w:tcPr>
          <w:p w:rsidR="008A0DB1" w:rsidRPr="007979A7" w:rsidRDefault="008A0DB1" w:rsidP="003735D9">
            <w:pPr>
              <w:widowControl w:val="0"/>
              <w:suppressLineNumbers/>
              <w:suppressAutoHyphens w:val="0"/>
              <w:autoSpaceDE w:val="0"/>
              <w:snapToGrid w:val="0"/>
              <w:jc w:val="left"/>
              <w:rPr>
                <w:rFonts w:ascii="Times New Roman" w:hAnsi="Times New Roman"/>
                <w:sz w:val="16"/>
                <w:szCs w:val="16"/>
                <w:lang w:eastAsia="pt-BR"/>
              </w:rPr>
            </w:pPr>
            <w:r w:rsidRPr="007979A7">
              <w:rPr>
                <w:rFonts w:cs="Arial"/>
                <w:sz w:val="16"/>
                <w:szCs w:val="16"/>
                <w:lang w:val="pt-PT" w:eastAsia="pt-BR"/>
              </w:rPr>
              <w:t> </w:t>
            </w:r>
          </w:p>
        </w:tc>
        <w:tc>
          <w:tcPr>
            <w:tcW w:w="2733" w:type="dxa"/>
            <w:tcBorders>
              <w:left w:val="nil"/>
            </w:tcBorders>
            <w:vAlign w:val="center"/>
            <w:hideMark/>
          </w:tcPr>
          <w:p w:rsidR="008A0DB1" w:rsidRPr="007979A7" w:rsidRDefault="008A0DB1" w:rsidP="003735D9">
            <w:pPr>
              <w:widowControl w:val="0"/>
              <w:suppressLineNumbers/>
              <w:suppressAutoHyphens w:val="0"/>
              <w:autoSpaceDE w:val="0"/>
              <w:snapToGrid w:val="0"/>
              <w:jc w:val="left"/>
              <w:rPr>
                <w:rFonts w:ascii="Times New Roman" w:hAnsi="Times New Roman"/>
                <w:sz w:val="16"/>
                <w:szCs w:val="16"/>
                <w:lang w:eastAsia="pt-BR"/>
              </w:rPr>
            </w:pPr>
            <w:r w:rsidRPr="007979A7">
              <w:rPr>
                <w:rFonts w:cs="Arial"/>
                <w:sz w:val="16"/>
                <w:szCs w:val="16"/>
                <w:lang w:eastAsia="pt-BR"/>
              </w:rPr>
              <w:t> </w:t>
            </w:r>
          </w:p>
        </w:tc>
      </w:tr>
      <w:tr w:rsidR="008A0DB1" w:rsidRPr="007979A7" w:rsidTr="003735D9">
        <w:trPr>
          <w:gridAfter w:val="1"/>
          <w:wAfter w:w="20" w:type="dxa"/>
          <w:trHeight w:val="340"/>
        </w:trPr>
        <w:tc>
          <w:tcPr>
            <w:tcW w:w="9240" w:type="dxa"/>
            <w:gridSpan w:val="3"/>
            <w:vAlign w:val="center"/>
            <w:hideMark/>
          </w:tcPr>
          <w:p w:rsidR="008A0DB1" w:rsidRDefault="008A0DB1" w:rsidP="003735D9">
            <w:pPr>
              <w:widowControl w:val="0"/>
              <w:suppressLineNumbers/>
              <w:suppressAutoHyphens w:val="0"/>
              <w:autoSpaceDE w:val="0"/>
              <w:snapToGrid w:val="0"/>
              <w:rPr>
                <w:rFonts w:cs="Arial"/>
                <w:sz w:val="16"/>
                <w:szCs w:val="16"/>
                <w:lang w:eastAsia="pt-BR"/>
              </w:rPr>
            </w:pPr>
            <w:r w:rsidRPr="007979A7">
              <w:rPr>
                <w:rFonts w:cs="Arial"/>
                <w:sz w:val="16"/>
                <w:szCs w:val="16"/>
                <w:lang w:eastAsia="pt-BR"/>
              </w:rPr>
              <w:t>- O kit deverá possuir declaração de recomendação para em uso em água tratada, água bruta (subterrânea e de superfície) e efluentes.</w:t>
            </w:r>
          </w:p>
          <w:p w:rsidR="008A0DB1" w:rsidRPr="007979A7" w:rsidRDefault="008A0DB1" w:rsidP="003735D9">
            <w:pPr>
              <w:widowControl w:val="0"/>
              <w:suppressLineNumbers/>
              <w:suppressAutoHyphens w:val="0"/>
              <w:autoSpaceDE w:val="0"/>
              <w:snapToGrid w:val="0"/>
              <w:rPr>
                <w:rFonts w:ascii="Times New Roman" w:hAnsi="Times New Roman"/>
                <w:sz w:val="16"/>
                <w:szCs w:val="16"/>
                <w:lang w:eastAsia="pt-BR"/>
              </w:rPr>
            </w:pPr>
            <w:r>
              <w:rPr>
                <w:rFonts w:ascii="Times New Roman" w:hAnsi="Times New Roman"/>
                <w:sz w:val="16"/>
                <w:szCs w:val="16"/>
                <w:lang w:eastAsia="pt-BR"/>
              </w:rPr>
              <w:t>-</w:t>
            </w:r>
            <w:r w:rsidRPr="007979A7">
              <w:rPr>
                <w:rFonts w:cs="Arial"/>
                <w:sz w:val="16"/>
                <w:szCs w:val="16"/>
                <w:lang w:eastAsia="pt-BR"/>
              </w:rPr>
              <w:t xml:space="preserve"> Kit com capacidade de pelo menos 250 análises.</w:t>
            </w:r>
          </w:p>
          <w:p w:rsidR="008A0DB1" w:rsidRPr="007979A7" w:rsidRDefault="008A0DB1" w:rsidP="003735D9">
            <w:pPr>
              <w:widowControl w:val="0"/>
              <w:suppressLineNumbers/>
              <w:suppressAutoHyphens w:val="0"/>
              <w:autoSpaceDE w:val="0"/>
              <w:snapToGrid w:val="0"/>
              <w:rPr>
                <w:rFonts w:ascii="Times New Roman" w:hAnsi="Times New Roman"/>
                <w:sz w:val="16"/>
                <w:szCs w:val="16"/>
                <w:lang w:eastAsia="pt-BR"/>
              </w:rPr>
            </w:pPr>
            <w:r w:rsidRPr="007979A7">
              <w:rPr>
                <w:rFonts w:cs="Arial"/>
                <w:sz w:val="16"/>
                <w:szCs w:val="16"/>
                <w:lang w:eastAsia="pt-BR"/>
              </w:rPr>
              <w:t xml:space="preserve">- pH de execução da análise de verá ser amplo: aproximadamente de 2 a 7. </w:t>
            </w:r>
          </w:p>
          <w:p w:rsidR="008A0DB1" w:rsidRPr="007979A7" w:rsidRDefault="008A0DB1" w:rsidP="003735D9">
            <w:pPr>
              <w:widowControl w:val="0"/>
              <w:suppressLineNumbers/>
              <w:suppressAutoHyphens w:val="0"/>
              <w:autoSpaceDE w:val="0"/>
              <w:snapToGrid w:val="0"/>
              <w:rPr>
                <w:rFonts w:ascii="Times New Roman" w:hAnsi="Times New Roman"/>
                <w:sz w:val="16"/>
                <w:szCs w:val="16"/>
                <w:lang w:eastAsia="pt-BR"/>
              </w:rPr>
            </w:pPr>
            <w:r w:rsidRPr="007979A7">
              <w:rPr>
                <w:rFonts w:cs="Arial"/>
                <w:sz w:val="16"/>
                <w:szCs w:val="16"/>
                <w:lang w:eastAsia="pt-BR"/>
              </w:rPr>
              <w:t xml:space="preserve">- A detecção do composto deverá ser baseado em colorimetria. Método compatível com espectrofotômetro DR2800 Hach. </w:t>
            </w:r>
          </w:p>
          <w:p w:rsidR="008A0DB1" w:rsidRPr="007979A7" w:rsidRDefault="008A0DB1" w:rsidP="003735D9">
            <w:pPr>
              <w:widowControl w:val="0"/>
              <w:suppressLineNumbers/>
              <w:suppressAutoHyphens w:val="0"/>
              <w:autoSpaceDE w:val="0"/>
              <w:snapToGrid w:val="0"/>
              <w:rPr>
                <w:rFonts w:ascii="Times New Roman" w:hAnsi="Times New Roman"/>
                <w:sz w:val="16"/>
                <w:szCs w:val="16"/>
                <w:lang w:eastAsia="pt-BR"/>
              </w:rPr>
            </w:pPr>
            <w:r w:rsidRPr="007979A7">
              <w:rPr>
                <w:rFonts w:cs="Arial"/>
                <w:sz w:val="16"/>
                <w:szCs w:val="16"/>
                <w:lang w:eastAsia="pt-BR"/>
              </w:rPr>
              <w:t>- O fornecedor deverá disponibilizar os fatores da curva analítica de determinação de manganês para inserção no equipamento citado e metodologia de análise.</w:t>
            </w:r>
          </w:p>
          <w:p w:rsidR="008A0DB1" w:rsidRPr="007979A7" w:rsidRDefault="008A0DB1" w:rsidP="003735D9">
            <w:pPr>
              <w:widowControl w:val="0"/>
              <w:suppressLineNumbers/>
              <w:suppressAutoHyphens w:val="0"/>
              <w:autoSpaceDE w:val="0"/>
              <w:snapToGrid w:val="0"/>
              <w:rPr>
                <w:rFonts w:ascii="Times New Roman" w:hAnsi="Times New Roman"/>
                <w:sz w:val="16"/>
                <w:szCs w:val="16"/>
                <w:lang w:eastAsia="pt-BR"/>
              </w:rPr>
            </w:pPr>
            <w:r w:rsidRPr="007979A7">
              <w:rPr>
                <w:rFonts w:cs="Arial"/>
                <w:sz w:val="16"/>
                <w:szCs w:val="16"/>
                <w:lang w:eastAsia="pt-BR"/>
              </w:rPr>
              <w:t>- Kit deverá vir acompanhado de certificado de análise composto por: número do lote enviado, comprimento de onda utilizado na determinação, Padrão analisado, cubeta utilizada (caminho óptico) e demonstrar linearidade e exatidão do kit.</w:t>
            </w:r>
          </w:p>
          <w:p w:rsidR="008A0DB1" w:rsidRPr="007979A7" w:rsidRDefault="008A0DB1" w:rsidP="003735D9">
            <w:pPr>
              <w:widowControl w:val="0"/>
              <w:suppressLineNumbers/>
              <w:suppressAutoHyphens w:val="0"/>
              <w:autoSpaceDE w:val="0"/>
              <w:snapToGrid w:val="0"/>
              <w:rPr>
                <w:rFonts w:ascii="Times New Roman" w:hAnsi="Times New Roman"/>
                <w:sz w:val="16"/>
                <w:szCs w:val="16"/>
                <w:lang w:eastAsia="pt-BR"/>
              </w:rPr>
            </w:pPr>
            <w:r w:rsidRPr="007979A7">
              <w:rPr>
                <w:rFonts w:cs="Arial"/>
                <w:sz w:val="16"/>
                <w:szCs w:val="16"/>
                <w:lang w:eastAsia="pt-BR"/>
              </w:rPr>
              <w:t>- Kit será testado no Laboratório Central da Cesama e deverá apresentar recuperação entre 90 e 110 % frente a um material de referência de manganês 0,75 mg/L, sendo devolvido se não apresentar tal desempenho.</w:t>
            </w:r>
          </w:p>
          <w:p w:rsidR="008A0DB1" w:rsidRPr="007979A7" w:rsidRDefault="008A0DB1" w:rsidP="003735D9">
            <w:pPr>
              <w:widowControl w:val="0"/>
              <w:suppressLineNumbers/>
              <w:suppressAutoHyphens w:val="0"/>
              <w:autoSpaceDE w:val="0"/>
              <w:snapToGrid w:val="0"/>
              <w:rPr>
                <w:rFonts w:ascii="Times New Roman" w:hAnsi="Times New Roman"/>
                <w:sz w:val="16"/>
                <w:szCs w:val="16"/>
                <w:lang w:eastAsia="pt-BR"/>
              </w:rPr>
            </w:pPr>
            <w:r w:rsidRPr="007979A7">
              <w:rPr>
                <w:rFonts w:cs="Arial"/>
                <w:sz w:val="16"/>
                <w:szCs w:val="16"/>
                <w:lang w:eastAsia="pt-BR"/>
              </w:rPr>
              <w:t>- Kit deverá ter validade de pelo menos 1 ano na data do recebimento.</w:t>
            </w:r>
          </w:p>
        </w:tc>
      </w:tr>
      <w:tr w:rsidR="008A0DB1" w:rsidRPr="007979A7" w:rsidTr="003735D9">
        <w:trPr>
          <w:trHeight w:val="397"/>
        </w:trPr>
        <w:tc>
          <w:tcPr>
            <w:tcW w:w="9240" w:type="dxa"/>
            <w:gridSpan w:val="3"/>
            <w:vAlign w:val="center"/>
            <w:hideMark/>
          </w:tcPr>
          <w:p w:rsidR="008A0DB1" w:rsidRPr="007979A7" w:rsidRDefault="008A0DB1" w:rsidP="003735D9">
            <w:pPr>
              <w:widowControl w:val="0"/>
              <w:suppressLineNumbers/>
              <w:suppressAutoHyphens w:val="0"/>
              <w:autoSpaceDE w:val="0"/>
              <w:snapToGrid w:val="0"/>
              <w:jc w:val="left"/>
              <w:rPr>
                <w:rFonts w:ascii="Times New Roman" w:hAnsi="Times New Roman"/>
                <w:sz w:val="16"/>
                <w:szCs w:val="16"/>
                <w:lang w:eastAsia="pt-BR"/>
              </w:rPr>
            </w:pPr>
            <w:r w:rsidRPr="007979A7">
              <w:rPr>
                <w:rFonts w:cs="Arial"/>
                <w:b/>
                <w:sz w:val="16"/>
                <w:szCs w:val="16"/>
                <w:lang w:eastAsia="pt-BR"/>
              </w:rPr>
              <w:t xml:space="preserve">Referência: </w:t>
            </w:r>
            <w:r w:rsidRPr="007979A7">
              <w:rPr>
                <w:rFonts w:cs="Arial"/>
                <w:bCs/>
                <w:sz w:val="16"/>
                <w:szCs w:val="16"/>
                <w:lang w:eastAsia="pt-BR"/>
              </w:rPr>
              <w:t xml:space="preserve">Spectroquant </w:t>
            </w:r>
            <w:r w:rsidRPr="007979A7">
              <w:rPr>
                <w:rFonts w:cs="Arial"/>
                <w:bCs/>
                <w:sz w:val="16"/>
                <w:szCs w:val="16"/>
                <w:vertAlign w:val="superscript"/>
                <w:lang w:eastAsia="pt-BR"/>
              </w:rPr>
              <w:t>®</w:t>
            </w:r>
            <w:r w:rsidRPr="007979A7">
              <w:rPr>
                <w:rFonts w:cs="Arial"/>
                <w:bCs/>
                <w:sz w:val="16"/>
                <w:szCs w:val="16"/>
                <w:lang w:eastAsia="pt-BR"/>
              </w:rPr>
              <w:t xml:space="preserve"> Manganês, </w:t>
            </w:r>
            <w:r w:rsidRPr="007979A7">
              <w:rPr>
                <w:rFonts w:cs="Arial"/>
                <w:b/>
                <w:sz w:val="16"/>
                <w:szCs w:val="16"/>
                <w:lang w:eastAsia="pt-BR"/>
              </w:rPr>
              <w:t xml:space="preserve">Código: </w:t>
            </w:r>
            <w:r w:rsidRPr="007979A7">
              <w:rPr>
                <w:rFonts w:cs="Arial"/>
                <w:sz w:val="16"/>
                <w:szCs w:val="16"/>
                <w:lang w:eastAsia="pt-BR"/>
              </w:rPr>
              <w:t>1.14770.0001</w:t>
            </w:r>
          </w:p>
        </w:tc>
        <w:tc>
          <w:tcPr>
            <w:tcW w:w="144" w:type="dxa"/>
            <w:tcBorders>
              <w:left w:val="nil"/>
            </w:tcBorders>
            <w:vAlign w:val="center"/>
            <w:hideMark/>
          </w:tcPr>
          <w:p w:rsidR="008A0DB1" w:rsidRPr="007979A7" w:rsidRDefault="008A0DB1" w:rsidP="003735D9">
            <w:pPr>
              <w:suppressAutoHyphens w:val="0"/>
              <w:jc w:val="left"/>
              <w:rPr>
                <w:rFonts w:ascii="Times New Roman" w:hAnsi="Times New Roman"/>
                <w:lang w:eastAsia="pt-BR"/>
              </w:rPr>
            </w:pPr>
          </w:p>
        </w:tc>
      </w:tr>
    </w:tbl>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8- 56516-</w:t>
      </w:r>
      <w:r>
        <w:rPr>
          <w:rFonts w:cs="Arial"/>
          <w:sz w:val="24"/>
          <w:szCs w:val="24"/>
        </w:rPr>
        <w:tab/>
      </w:r>
      <w:r>
        <w:rPr>
          <w:rFonts w:cs="Arial"/>
          <w:snapToGrid w:val="0"/>
          <w:color w:val="000000"/>
          <w:sz w:val="16"/>
          <w:szCs w:val="16"/>
        </w:rPr>
        <w:t>002.142.0013-2</w:t>
      </w:r>
      <w:r>
        <w:rPr>
          <w:rFonts w:cs="Arial"/>
          <w:sz w:val="24"/>
          <w:szCs w:val="24"/>
        </w:rPr>
        <w:tab/>
      </w:r>
      <w:r>
        <w:rPr>
          <w:rFonts w:cs="Arial"/>
          <w:snapToGrid w:val="0"/>
          <w:color w:val="000000"/>
          <w:sz w:val="16"/>
          <w:szCs w:val="16"/>
        </w:rPr>
        <w:t>SPECTROQUANT FERRO 0,005 A 5,00 MG/LT</w:t>
      </w:r>
      <w:r>
        <w:rPr>
          <w:rFonts w:cs="Arial"/>
          <w:sz w:val="24"/>
          <w:szCs w:val="24"/>
        </w:rPr>
        <w:t xml:space="preserve">                     </w:t>
      </w:r>
      <w:r>
        <w:rPr>
          <w:rFonts w:cs="Arial"/>
          <w:snapToGrid w:val="0"/>
          <w:color w:val="000000"/>
          <w:sz w:val="16"/>
          <w:szCs w:val="16"/>
        </w:rPr>
        <w:t>CX</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2903CC" w:rsidRPr="00686076"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CAIXA P/ 1000 DETERMINAÇÕES</w:t>
      </w:r>
      <w:r w:rsidR="00686076">
        <w:rPr>
          <w:rFonts w:cs="Arial"/>
          <w:snapToGrid w:val="0"/>
          <w:color w:val="000000"/>
          <w:sz w:val="16"/>
          <w:szCs w:val="16"/>
        </w:rPr>
        <w:t xml:space="preserve">    </w:t>
      </w:r>
      <w:r w:rsidR="00686076" w:rsidRPr="00686076">
        <w:rPr>
          <w:rFonts w:cs="Arial"/>
          <w:b/>
          <w:sz w:val="18"/>
          <w:szCs w:val="18"/>
        </w:rPr>
        <w:t xml:space="preserve">Código: </w:t>
      </w:r>
      <w:r w:rsidR="00686076" w:rsidRPr="00686076">
        <w:rPr>
          <w:rFonts w:cs="Arial"/>
          <w:sz w:val="18"/>
          <w:szCs w:val="18"/>
        </w:rPr>
        <w:t>1.14761.0001</w:t>
      </w:r>
    </w:p>
    <w:p w:rsidR="002903CC" w:rsidRDefault="002903CC" w:rsidP="00396134">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p>
    <w:p w:rsidR="00396134" w:rsidRPr="002903CC" w:rsidRDefault="002903CC" w:rsidP="00396134">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2903CC">
        <w:rPr>
          <w:rFonts w:cs="Arial"/>
          <w:sz w:val="16"/>
          <w:szCs w:val="16"/>
        </w:rPr>
        <w:t xml:space="preserve">O Laboratório Central da Cesama possui reconhecimento de competência técnica pela Rede Metrológica de Minas Gerais segundo requisitos estabelecidos na norma </w:t>
      </w:r>
      <w:r w:rsidRPr="002903CC">
        <w:rPr>
          <w:rFonts w:cs="Arial"/>
          <w:bCs/>
          <w:sz w:val="16"/>
          <w:szCs w:val="16"/>
        </w:rPr>
        <w:t xml:space="preserve">NBR ISO/IEC 17025:2017, </w:t>
      </w:r>
      <w:r w:rsidRPr="002903CC">
        <w:rPr>
          <w:rFonts w:cs="Arial"/>
          <w:b/>
          <w:bCs/>
          <w:sz w:val="16"/>
          <w:szCs w:val="16"/>
        </w:rPr>
        <w:t>Requisitos gerais para competência de laboratórios de ensaio e calibração</w:t>
      </w:r>
      <w:r w:rsidRPr="002903CC">
        <w:rPr>
          <w:rFonts w:cs="Arial"/>
          <w:sz w:val="16"/>
          <w:szCs w:val="16"/>
        </w:rPr>
        <w:t xml:space="preserve">, 2017, para a execução do parâmetro Ferro total utilizando o kit </w:t>
      </w:r>
      <w:r w:rsidRPr="002903CC">
        <w:rPr>
          <w:rFonts w:cs="Arial"/>
          <w:bCs/>
          <w:sz w:val="16"/>
          <w:szCs w:val="16"/>
        </w:rPr>
        <w:t xml:space="preserve">Spectroquant </w:t>
      </w:r>
      <w:r w:rsidRPr="002903CC">
        <w:rPr>
          <w:rFonts w:cs="Arial"/>
          <w:bCs/>
          <w:sz w:val="16"/>
          <w:szCs w:val="16"/>
          <w:vertAlign w:val="superscript"/>
        </w:rPr>
        <w:t>®</w:t>
      </w:r>
      <w:r w:rsidRPr="002903CC">
        <w:rPr>
          <w:rFonts w:cs="Arial"/>
          <w:bCs/>
          <w:sz w:val="16"/>
          <w:szCs w:val="16"/>
        </w:rPr>
        <w:t xml:space="preserve"> Ferro – Merck, o qual foi validado para atender esta finalidade. Sendo assim, faz-se necessária a aquisição do mesmo para manutenção do status de reconhecimento de competência.</w:t>
      </w:r>
      <w:r w:rsidR="00396134" w:rsidRPr="002903CC">
        <w:rPr>
          <w:rFonts w:cs="Arial"/>
          <w:sz w:val="16"/>
          <w:szCs w:val="16"/>
        </w:rPr>
        <w:tab/>
      </w:r>
      <w:r w:rsidR="00396134" w:rsidRPr="002903CC">
        <w:rPr>
          <w:rFonts w:cs="Arial"/>
          <w:sz w:val="16"/>
          <w:szCs w:val="16"/>
        </w:rPr>
        <w:tab/>
      </w: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686076" w:rsidP="00686076">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9</w:t>
      </w:r>
      <w:r w:rsidR="00396134">
        <w:rPr>
          <w:rFonts w:cs="Arial"/>
          <w:snapToGrid w:val="0"/>
          <w:color w:val="000000"/>
          <w:sz w:val="16"/>
          <w:szCs w:val="16"/>
        </w:rPr>
        <w:t>- 56516-</w:t>
      </w:r>
      <w:r w:rsidR="00396134">
        <w:rPr>
          <w:rFonts w:cs="Arial"/>
          <w:sz w:val="24"/>
          <w:szCs w:val="24"/>
        </w:rPr>
        <w:tab/>
      </w:r>
      <w:r w:rsidR="00396134">
        <w:rPr>
          <w:rFonts w:cs="Arial"/>
          <w:snapToGrid w:val="0"/>
          <w:color w:val="000000"/>
          <w:sz w:val="16"/>
          <w:szCs w:val="16"/>
        </w:rPr>
        <w:t>002.154.0008-9</w:t>
      </w:r>
      <w:r w:rsidR="00396134">
        <w:rPr>
          <w:rFonts w:cs="Arial"/>
          <w:sz w:val="24"/>
          <w:szCs w:val="24"/>
        </w:rPr>
        <w:tab/>
      </w:r>
      <w:r w:rsidR="00396134">
        <w:rPr>
          <w:rFonts w:cs="Arial"/>
          <w:snapToGrid w:val="0"/>
          <w:color w:val="000000"/>
          <w:sz w:val="16"/>
          <w:szCs w:val="16"/>
        </w:rPr>
        <w:t>SULFATO DE MERCURIO</w:t>
      </w:r>
      <w:r w:rsidR="00396134">
        <w:rPr>
          <w:rFonts w:cs="Arial"/>
          <w:sz w:val="24"/>
          <w:szCs w:val="24"/>
        </w:rPr>
        <w:t xml:space="preserve">                                        </w:t>
      </w:r>
      <w:r w:rsidR="00396134">
        <w:rPr>
          <w:rFonts w:cs="Arial"/>
          <w:snapToGrid w:val="0"/>
          <w:color w:val="000000"/>
          <w:sz w:val="16"/>
          <w:szCs w:val="16"/>
        </w:rPr>
        <w:t>FR</w:t>
      </w:r>
      <w:r w:rsidR="00396134">
        <w:rPr>
          <w:rFonts w:cs="Arial"/>
          <w:sz w:val="24"/>
          <w:szCs w:val="24"/>
        </w:rPr>
        <w:t xml:space="preserve">             </w:t>
      </w:r>
      <w:r w:rsidR="00396134">
        <w:rPr>
          <w:rFonts w:cs="Arial"/>
          <w:snapToGrid w:val="0"/>
          <w:color w:val="000000"/>
          <w:sz w:val="16"/>
          <w:szCs w:val="16"/>
        </w:rPr>
        <w:t>2</w:t>
      </w:r>
      <w:r w:rsidR="00396134">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SULFATO DE MERCURIO (REAGENTE ACS) CAS: 7783-35-9 FORMULA: HGSO4 </w:t>
      </w:r>
      <w:r>
        <w:rPr>
          <w:rFonts w:cs="Arial"/>
          <w:sz w:val="24"/>
          <w:szCs w:val="24"/>
        </w:rPr>
        <w:tab/>
      </w:r>
    </w:p>
    <w:p w:rsidR="00396134" w:rsidRDefault="00396134" w:rsidP="00396134">
      <w:pPr>
        <w:widowControl w:val="0"/>
        <w:autoSpaceDE w:val="0"/>
        <w:autoSpaceDN w:val="0"/>
        <w:adjustRightInd w:val="0"/>
        <w:spacing w:line="68" w:lineRule="exact"/>
        <w:rPr>
          <w:rFonts w:cs="Arial"/>
          <w:sz w:val="24"/>
          <w:szCs w:val="24"/>
        </w:rPr>
      </w:pPr>
    </w:p>
    <w:p w:rsidR="00396134" w:rsidRDefault="00396134" w:rsidP="00396134">
      <w:pPr>
        <w:widowControl w:val="0"/>
        <w:tabs>
          <w:tab w:val="left" w:pos="1545"/>
        </w:tabs>
        <w:autoSpaceDE w:val="0"/>
        <w:autoSpaceDN w:val="0"/>
        <w:adjustRightInd w:val="0"/>
        <w:spacing w:line="142" w:lineRule="exact"/>
        <w:rPr>
          <w:rFonts w:cs="Arial"/>
          <w:snapToGrid w:val="0"/>
          <w:color w:val="000000"/>
          <w:sz w:val="16"/>
          <w:szCs w:val="16"/>
        </w:rPr>
      </w:pPr>
      <w:r>
        <w:rPr>
          <w:rFonts w:cs="Arial"/>
          <w:sz w:val="24"/>
          <w:szCs w:val="24"/>
        </w:rPr>
        <w:tab/>
      </w:r>
      <w:r>
        <w:rPr>
          <w:rFonts w:cs="Arial"/>
          <w:snapToGrid w:val="0"/>
          <w:color w:val="000000"/>
          <w:sz w:val="16"/>
          <w:szCs w:val="16"/>
        </w:rPr>
        <w:t xml:space="preserve">EMBALAGEM: 125GR </w:t>
      </w:r>
    </w:p>
    <w:p w:rsidR="00396134" w:rsidRDefault="00396134" w:rsidP="00396134">
      <w:pPr>
        <w:widowControl w:val="0"/>
        <w:tabs>
          <w:tab w:val="left" w:pos="1545"/>
        </w:tabs>
        <w:autoSpaceDE w:val="0"/>
        <w:autoSpaceDN w:val="0"/>
        <w:adjustRightInd w:val="0"/>
        <w:spacing w:line="142" w:lineRule="exact"/>
        <w:rPr>
          <w:rFonts w:cs="Arial"/>
          <w:snapToGrid w:val="0"/>
          <w:color w:val="000000"/>
          <w:sz w:val="16"/>
          <w:szCs w:val="16"/>
        </w:rPr>
      </w:pPr>
    </w:p>
    <w:p w:rsidR="00396134" w:rsidRDefault="00686076" w:rsidP="00396134">
      <w:pPr>
        <w:widowControl w:val="0"/>
        <w:tabs>
          <w:tab w:val="left" w:pos="1545"/>
        </w:tabs>
        <w:autoSpaceDE w:val="0"/>
        <w:autoSpaceDN w:val="0"/>
        <w:adjustRightInd w:val="0"/>
        <w:spacing w:line="142" w:lineRule="exact"/>
        <w:rPr>
          <w:rFonts w:cs="Arial"/>
          <w:snapToGrid w:val="0"/>
          <w:color w:val="000000"/>
          <w:sz w:val="16"/>
          <w:szCs w:val="16"/>
        </w:rPr>
      </w:pPr>
      <w:r>
        <w:rPr>
          <w:rFonts w:cs="Arial"/>
          <w:snapToGrid w:val="0"/>
          <w:color w:val="000000"/>
          <w:sz w:val="16"/>
          <w:szCs w:val="16"/>
        </w:rPr>
        <w:t xml:space="preserve"> </w:t>
      </w:r>
    </w:p>
    <w:p w:rsidR="00396134" w:rsidRDefault="00686076"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r>
        <w:rPr>
          <w:rFonts w:cs="Arial"/>
          <w:snapToGrid w:val="0"/>
          <w:color w:val="000000"/>
          <w:sz w:val="16"/>
          <w:szCs w:val="16"/>
        </w:rPr>
        <w:t>10</w:t>
      </w:r>
      <w:r w:rsidR="00396134">
        <w:rPr>
          <w:rFonts w:cs="Arial"/>
          <w:snapToGrid w:val="0"/>
          <w:color w:val="000000"/>
          <w:sz w:val="16"/>
          <w:szCs w:val="16"/>
        </w:rPr>
        <w:t>- 60936-</w:t>
      </w:r>
      <w:r w:rsidR="00396134">
        <w:rPr>
          <w:rFonts w:cs="Arial"/>
          <w:sz w:val="24"/>
          <w:szCs w:val="24"/>
        </w:rPr>
        <w:tab/>
      </w:r>
      <w:r w:rsidR="00396134">
        <w:rPr>
          <w:rFonts w:cs="Arial"/>
          <w:snapToGrid w:val="0"/>
          <w:color w:val="000000"/>
          <w:sz w:val="16"/>
          <w:szCs w:val="16"/>
        </w:rPr>
        <w:t>002.027.0012-8</w:t>
      </w:r>
      <w:r w:rsidR="00396134">
        <w:rPr>
          <w:rFonts w:cs="Arial"/>
          <w:sz w:val="24"/>
          <w:szCs w:val="24"/>
        </w:rPr>
        <w:tab/>
      </w:r>
      <w:r w:rsidR="00396134">
        <w:rPr>
          <w:rFonts w:cs="Arial"/>
          <w:snapToGrid w:val="0"/>
          <w:color w:val="000000"/>
          <w:sz w:val="16"/>
          <w:szCs w:val="16"/>
        </w:rPr>
        <w:t>REAGENTE DE KOVACS</w:t>
      </w:r>
      <w:r w:rsidR="00396134">
        <w:rPr>
          <w:rFonts w:cs="Arial"/>
          <w:sz w:val="24"/>
          <w:szCs w:val="24"/>
        </w:rPr>
        <w:t xml:space="preserve">                                           </w:t>
      </w:r>
      <w:r>
        <w:rPr>
          <w:rFonts w:cs="Arial"/>
          <w:sz w:val="24"/>
          <w:szCs w:val="24"/>
        </w:rPr>
        <w:t xml:space="preserve">   </w:t>
      </w:r>
      <w:r w:rsidR="00396134">
        <w:rPr>
          <w:rFonts w:cs="Arial"/>
          <w:sz w:val="24"/>
          <w:szCs w:val="24"/>
        </w:rPr>
        <w:t xml:space="preserve"> </w:t>
      </w:r>
      <w:r w:rsidR="00396134">
        <w:rPr>
          <w:rFonts w:cs="Arial"/>
          <w:snapToGrid w:val="0"/>
          <w:color w:val="000000"/>
          <w:sz w:val="16"/>
          <w:szCs w:val="16"/>
        </w:rPr>
        <w:t>FR</w:t>
      </w:r>
      <w:r w:rsidR="00396134">
        <w:rPr>
          <w:rFonts w:cs="Arial"/>
          <w:sz w:val="24"/>
          <w:szCs w:val="24"/>
        </w:rPr>
        <w:t xml:space="preserve">             </w:t>
      </w:r>
      <w:r w:rsidR="00396134">
        <w:rPr>
          <w:rFonts w:cs="Arial"/>
          <w:snapToGrid w:val="0"/>
          <w:color w:val="000000"/>
          <w:sz w:val="16"/>
          <w:szCs w:val="16"/>
        </w:rPr>
        <w:t>1</w:t>
      </w:r>
      <w:r w:rsidR="00396134">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-Reagente de KOVACS</w:t>
      </w:r>
      <w:r>
        <w:rPr>
          <w:rFonts w:cs="Arial"/>
          <w:sz w:val="24"/>
          <w:szCs w:val="24"/>
        </w:rPr>
        <w:tab/>
      </w: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Características:</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Solução translúcida amarelada a levemente rósea, livre de precipitados ou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partículas visíveis</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Composição:</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N-butanol</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Ácido clorídrico</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4-dimetilaminobenzaldeído</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396134" w:rsidRDefault="00780E8C" w:rsidP="00396134">
      <w:pPr>
        <w:widowControl w:val="0"/>
        <w:tabs>
          <w:tab w:val="left" w:pos="1545"/>
        </w:tabs>
        <w:autoSpaceDE w:val="0"/>
        <w:autoSpaceDN w:val="0"/>
        <w:adjustRightInd w:val="0"/>
        <w:spacing w:line="142" w:lineRule="exact"/>
        <w:rPr>
          <w:rFonts w:cs="Arial"/>
          <w:sz w:val="24"/>
          <w:szCs w:val="24"/>
        </w:rPr>
      </w:pPr>
      <w:r>
        <w:rPr>
          <w:rFonts w:cs="Arial"/>
          <w:sz w:val="24"/>
          <w:szCs w:val="24"/>
        </w:rPr>
        <w:t xml:space="preserve">                       </w:t>
      </w:r>
      <w:r w:rsidR="00396134">
        <w:rPr>
          <w:rFonts w:cs="Arial"/>
          <w:snapToGrid w:val="0"/>
          <w:color w:val="000000"/>
          <w:sz w:val="16"/>
          <w:szCs w:val="16"/>
        </w:rPr>
        <w:t>Embalagem: frasco de 30 a 100 mL</w:t>
      </w:r>
    </w:p>
    <w:p w:rsidR="00CA79D2" w:rsidRPr="00CD7A6F" w:rsidRDefault="004167A1" w:rsidP="00CD7A6F">
      <w:pPr>
        <w:widowControl w:val="0"/>
        <w:tabs>
          <w:tab w:val="left" w:pos="1545"/>
        </w:tabs>
        <w:autoSpaceDE w:val="0"/>
        <w:autoSpaceDN w:val="0"/>
        <w:adjustRightInd w:val="0"/>
        <w:spacing w:line="569" w:lineRule="exact"/>
        <w:rPr>
          <w:rFonts w:cs="Arial"/>
          <w:sz w:val="24"/>
          <w:szCs w:val="24"/>
        </w:rPr>
      </w:pPr>
      <w:r w:rsidRPr="00D9083B">
        <w:rPr>
          <w:rFonts w:cs="Arial"/>
          <w:b/>
          <w:sz w:val="24"/>
          <w:szCs w:val="24"/>
        </w:rPr>
        <w:lastRenderedPageBreak/>
        <w:t>5.</w:t>
      </w:r>
      <w:r w:rsidRPr="00D9083B">
        <w:rPr>
          <w:rFonts w:cs="Arial"/>
          <w:b/>
          <w:bCs/>
        </w:rPr>
        <w:t xml:space="preserve">   </w:t>
      </w:r>
      <w:r w:rsidR="00B41EF6" w:rsidRPr="00D9083B">
        <w:rPr>
          <w:rFonts w:cs="Arial"/>
          <w:b/>
          <w:bCs/>
          <w:sz w:val="24"/>
          <w:szCs w:val="24"/>
        </w:rPr>
        <w:t>VALORES ESTIMADOS</w:t>
      </w:r>
    </w:p>
    <w:p w:rsidR="000A4F5C" w:rsidRDefault="000A4F5C" w:rsidP="00956E3F">
      <w:pPr>
        <w:widowControl w:val="0"/>
        <w:tabs>
          <w:tab w:val="left" w:pos="1545"/>
        </w:tabs>
        <w:autoSpaceDE w:val="0"/>
        <w:autoSpaceDN w:val="0"/>
        <w:adjustRightInd w:val="0"/>
        <w:spacing w:line="142" w:lineRule="exact"/>
        <w:rPr>
          <w:rFonts w:cs="Arial"/>
          <w:b/>
          <w:bCs/>
          <w:sz w:val="24"/>
          <w:szCs w:val="24"/>
        </w:rPr>
      </w:pPr>
    </w:p>
    <w:p w:rsidR="000A4F5C" w:rsidRDefault="000A4F5C" w:rsidP="00956E3F">
      <w:pPr>
        <w:widowControl w:val="0"/>
        <w:tabs>
          <w:tab w:val="left" w:pos="1545"/>
        </w:tabs>
        <w:autoSpaceDE w:val="0"/>
        <w:autoSpaceDN w:val="0"/>
        <w:adjustRightInd w:val="0"/>
        <w:spacing w:line="142" w:lineRule="exact"/>
        <w:rPr>
          <w:rFonts w:cs="Arial"/>
          <w:b/>
          <w:bCs/>
          <w:sz w:val="24"/>
          <w:szCs w:val="24"/>
        </w:rPr>
      </w:pPr>
    </w:p>
    <w:p w:rsidR="00956E3F" w:rsidRPr="00956E3F" w:rsidRDefault="00956E3F" w:rsidP="00956E3F">
      <w:pPr>
        <w:widowControl w:val="0"/>
        <w:tabs>
          <w:tab w:val="left" w:pos="1545"/>
        </w:tabs>
        <w:autoSpaceDE w:val="0"/>
        <w:autoSpaceDN w:val="0"/>
        <w:adjustRightInd w:val="0"/>
        <w:spacing w:line="142" w:lineRule="exact"/>
        <w:rPr>
          <w:rFonts w:cs="Arial"/>
          <w:sz w:val="24"/>
          <w:szCs w:val="24"/>
        </w:rPr>
      </w:pPr>
    </w:p>
    <w:p w:rsidR="006846E6"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C94C4B" w:rsidRDefault="00C94C4B" w:rsidP="000B3AC8">
      <w:pPr>
        <w:spacing w:before="120" w:line="360" w:lineRule="auto"/>
        <w:ind w:firstLine="567"/>
        <w:rPr>
          <w:rFonts w:cs="Arial"/>
          <w:sz w:val="24"/>
          <w:szCs w:val="24"/>
        </w:rPr>
      </w:pPr>
    </w:p>
    <w:tbl>
      <w:tblPr>
        <w:tblW w:w="9115" w:type="dxa"/>
        <w:tblInd w:w="55" w:type="dxa"/>
        <w:tblCellMar>
          <w:left w:w="70" w:type="dxa"/>
          <w:right w:w="70" w:type="dxa"/>
        </w:tblCellMar>
        <w:tblLook w:val="04A0"/>
      </w:tblPr>
      <w:tblGrid>
        <w:gridCol w:w="560"/>
        <w:gridCol w:w="4755"/>
        <w:gridCol w:w="900"/>
        <w:gridCol w:w="1700"/>
        <w:gridCol w:w="1200"/>
      </w:tblGrid>
      <w:tr w:rsidR="00BB3D69" w:rsidRPr="00BB3D69" w:rsidTr="00BB3D69">
        <w:trPr>
          <w:trHeight w:val="799"/>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ITEM</w:t>
            </w:r>
          </w:p>
        </w:tc>
        <w:tc>
          <w:tcPr>
            <w:tcW w:w="4755" w:type="dxa"/>
            <w:tcBorders>
              <w:top w:val="single" w:sz="4" w:space="0" w:color="auto"/>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Descrição do material</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Quant.</w:t>
            </w:r>
          </w:p>
        </w:tc>
        <w:tc>
          <w:tcPr>
            <w:tcW w:w="1700" w:type="dxa"/>
            <w:tcBorders>
              <w:top w:val="single" w:sz="4" w:space="0" w:color="auto"/>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Média Unitária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Média Total</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4755"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CADMIO GRANULADO</w:t>
            </w:r>
          </w:p>
        </w:tc>
        <w:tc>
          <w:tcPr>
            <w:tcW w:w="9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R$ 464,83</w:t>
            </w:r>
          </w:p>
        </w:tc>
        <w:tc>
          <w:tcPr>
            <w:tcW w:w="12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R$ 464,83</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2</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CLORETO DE SODIO P.A</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R$ 17,56</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R$ 17,56</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3</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OLEO DE SILICONE PARA TURBIDEZ</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6</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R$ 231,78</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R$ 1.390,68</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4</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SOLUCAO DE PEPSINA (P/ LIMPEZA DE ELETRODO DE PH)</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R$ 444,41</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R$ 444,41</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5</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SOLUCAO TIOUREIA (P/ LIMPEZA DE ELETRODO DE PH)</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R$ 535,66</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R$ 535,66</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6</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SULFANILAMIDA</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R$ 90,16</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R$ 90,16</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7</w:t>
            </w:r>
          </w:p>
        </w:tc>
        <w:tc>
          <w:tcPr>
            <w:tcW w:w="4755"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KIT MANGANES</w:t>
            </w:r>
          </w:p>
        </w:tc>
        <w:tc>
          <w:tcPr>
            <w:tcW w:w="9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R$ 1.495,00</w:t>
            </w:r>
          </w:p>
        </w:tc>
        <w:tc>
          <w:tcPr>
            <w:tcW w:w="12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R$ 1.495,00</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8</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SPECTROQUANT FERRO 0,005 A 5,00 MG/LT</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R$ 2.007,50</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R$ 2.007,50</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686076" w:rsidP="00BB3D69">
            <w:pPr>
              <w:suppressAutoHyphens w:val="0"/>
              <w:jc w:val="center"/>
              <w:rPr>
                <w:rFonts w:ascii="Calibri" w:hAnsi="Calibri" w:cs="Arial"/>
                <w:sz w:val="16"/>
                <w:szCs w:val="16"/>
                <w:lang w:eastAsia="pt-BR"/>
              </w:rPr>
            </w:pPr>
            <w:r>
              <w:rPr>
                <w:rFonts w:ascii="Calibri" w:hAnsi="Calibri" w:cs="Arial"/>
                <w:sz w:val="16"/>
                <w:szCs w:val="16"/>
                <w:lang w:eastAsia="pt-BR"/>
              </w:rPr>
              <w:t>9</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SULFATO DE MERCURIO</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2</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R$ 356,00</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R$ 712,00</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BB3D69" w:rsidRPr="00BB3D69" w:rsidRDefault="00686076" w:rsidP="00BB3D69">
            <w:pPr>
              <w:suppressAutoHyphens w:val="0"/>
              <w:jc w:val="center"/>
              <w:rPr>
                <w:rFonts w:ascii="Calibri" w:hAnsi="Calibri" w:cs="Arial"/>
                <w:sz w:val="16"/>
                <w:szCs w:val="16"/>
                <w:lang w:eastAsia="pt-BR"/>
              </w:rPr>
            </w:pPr>
            <w:r>
              <w:rPr>
                <w:rFonts w:ascii="Calibri" w:hAnsi="Calibri" w:cs="Arial"/>
                <w:sz w:val="16"/>
                <w:szCs w:val="16"/>
                <w:lang w:eastAsia="pt-BR"/>
              </w:rPr>
              <w:t>10</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REAGENTE DE KOVACS</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R$ 212,45</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R$ 212,45</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BB3D69" w:rsidRPr="00BB3D69" w:rsidRDefault="00BB3D69" w:rsidP="00BB3D69">
            <w:pPr>
              <w:suppressAutoHyphens w:val="0"/>
              <w:jc w:val="center"/>
              <w:rPr>
                <w:rFonts w:ascii="Calibri" w:hAnsi="Calibri" w:cs="Arial"/>
                <w:sz w:val="16"/>
                <w:szCs w:val="16"/>
                <w:lang w:eastAsia="pt-BR"/>
              </w:rPr>
            </w:pPr>
          </w:p>
        </w:tc>
        <w:tc>
          <w:tcPr>
            <w:tcW w:w="7355" w:type="dxa"/>
            <w:gridSpan w:val="3"/>
            <w:tcBorders>
              <w:top w:val="single" w:sz="4" w:space="0" w:color="auto"/>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TOTAL</w:t>
            </w:r>
          </w:p>
        </w:tc>
        <w:tc>
          <w:tcPr>
            <w:tcW w:w="1200" w:type="dxa"/>
            <w:tcBorders>
              <w:top w:val="nil"/>
              <w:left w:val="nil"/>
              <w:bottom w:val="single" w:sz="4" w:space="0" w:color="auto"/>
              <w:right w:val="single" w:sz="4" w:space="0" w:color="auto"/>
            </w:tcBorders>
            <w:shd w:val="clear" w:color="auto" w:fill="auto"/>
            <w:noWrap/>
            <w:vAlign w:val="center"/>
            <w:hideMark/>
          </w:tcPr>
          <w:p w:rsidR="00637945" w:rsidRPr="00BB3D69" w:rsidRDefault="00BB3D69" w:rsidP="00686076">
            <w:pPr>
              <w:suppressAutoHyphens w:val="0"/>
              <w:jc w:val="center"/>
              <w:rPr>
                <w:rFonts w:ascii="Calibri" w:hAnsi="Calibri" w:cs="Arial"/>
                <w:b/>
                <w:bCs/>
                <w:color w:val="FF0000"/>
                <w:sz w:val="16"/>
                <w:szCs w:val="16"/>
                <w:lang w:eastAsia="pt-BR"/>
              </w:rPr>
            </w:pPr>
            <w:r w:rsidRPr="00BB3D69">
              <w:rPr>
                <w:rFonts w:ascii="Calibri" w:hAnsi="Calibri" w:cs="Arial"/>
                <w:b/>
                <w:bCs/>
                <w:color w:val="FF0000"/>
                <w:sz w:val="16"/>
                <w:szCs w:val="16"/>
                <w:lang w:eastAsia="pt-BR"/>
              </w:rPr>
              <w:t xml:space="preserve">R$ </w:t>
            </w:r>
            <w:r w:rsidR="00686076">
              <w:rPr>
                <w:rFonts w:ascii="Calibri" w:hAnsi="Calibri" w:cs="Arial"/>
                <w:b/>
                <w:bCs/>
                <w:color w:val="FF0000"/>
                <w:sz w:val="16"/>
                <w:szCs w:val="16"/>
                <w:lang w:eastAsia="pt-BR"/>
              </w:rPr>
              <w:t>7.370,25</w:t>
            </w:r>
          </w:p>
        </w:tc>
      </w:tr>
    </w:tbl>
    <w:p w:rsidR="00BB3D69" w:rsidRDefault="00BB3D69" w:rsidP="00BB3D69">
      <w:pPr>
        <w:suppressAutoHyphens w:val="0"/>
        <w:autoSpaceDE w:val="0"/>
        <w:autoSpaceDN w:val="0"/>
        <w:adjustRightInd w:val="0"/>
        <w:spacing w:before="120" w:after="240" w:line="360" w:lineRule="auto"/>
        <w:jc w:val="center"/>
        <w:rPr>
          <w:rFonts w:cs="Arial"/>
          <w:sz w:val="24"/>
          <w:szCs w:val="24"/>
        </w:rPr>
      </w:pPr>
    </w:p>
    <w:p w:rsidR="00456ADB" w:rsidRDefault="00456ADB" w:rsidP="00BB3D69">
      <w:pPr>
        <w:suppressAutoHyphens w:val="0"/>
        <w:autoSpaceDE w:val="0"/>
        <w:autoSpaceDN w:val="0"/>
        <w:adjustRightInd w:val="0"/>
        <w:spacing w:before="120" w:after="240" w:line="360" w:lineRule="auto"/>
        <w:jc w:val="center"/>
        <w:rPr>
          <w:rFonts w:cs="Arial"/>
          <w:sz w:val="24"/>
          <w:szCs w:val="24"/>
        </w:rPr>
      </w:pPr>
    </w:p>
    <w:p w:rsidR="00C4040E" w:rsidRPr="00694C09" w:rsidRDefault="00C4040E" w:rsidP="00C4040E">
      <w:pPr>
        <w:spacing w:before="480" w:line="360" w:lineRule="auto"/>
        <w:rPr>
          <w:rFonts w:cs="Arial"/>
          <w:b/>
          <w:bCs/>
          <w:sz w:val="24"/>
          <w:szCs w:val="24"/>
        </w:rPr>
      </w:pPr>
      <w:r>
        <w:rPr>
          <w:rFonts w:cs="Arial"/>
          <w:b/>
          <w:bCs/>
          <w:sz w:val="24"/>
          <w:szCs w:val="24"/>
        </w:rPr>
        <w:lastRenderedPageBreak/>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do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pelo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r w:rsidR="00C4040E" w:rsidRPr="00694C09">
        <w:rPr>
          <w:rFonts w:cs="Arial"/>
          <w:bCs/>
          <w:sz w:val="24"/>
          <w:szCs w:val="24"/>
        </w:rPr>
        <w:t xml:space="preserve">Após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A CESAMA poderá submeter a</w:t>
      </w:r>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w:t>
      </w:r>
      <w:r w:rsidR="00C4040E" w:rsidRPr="008D3BC6">
        <w:rPr>
          <w:rFonts w:cs="Arial"/>
          <w:sz w:val="24"/>
          <w:szCs w:val="24"/>
        </w:rPr>
        <w:lastRenderedPageBreak/>
        <w:t xml:space="preserve">Santa Terezinha, nº 505, Bairro Santa Terezinha) em dias úteis, das </w:t>
      </w:r>
      <w:r w:rsidR="00C4040E" w:rsidRPr="008D3BC6">
        <w:rPr>
          <w:rFonts w:cs="Arial"/>
          <w:bCs/>
          <w:sz w:val="24"/>
          <w:szCs w:val="24"/>
        </w:rPr>
        <w:t>08:00h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7977A7">
        <w:rPr>
          <w:rFonts w:cs="Arial"/>
          <w:b/>
          <w:sz w:val="24"/>
          <w:szCs w:val="24"/>
        </w:rPr>
        <w:t>40</w:t>
      </w:r>
      <w:r w:rsidR="00F04709">
        <w:rPr>
          <w:rFonts w:cs="Arial"/>
          <w:b/>
          <w:sz w:val="24"/>
          <w:szCs w:val="24"/>
        </w:rPr>
        <w:t xml:space="preserve"> (</w:t>
      </w:r>
      <w:r w:rsidR="007977A7">
        <w:rPr>
          <w:rFonts w:cs="Arial"/>
          <w:b/>
          <w:sz w:val="24"/>
          <w:szCs w:val="24"/>
        </w:rPr>
        <w:t>quarenta</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r w:rsidR="00E361DB" w:rsidRPr="00D9083B">
        <w:rPr>
          <w:rFonts w:cs="Arial"/>
          <w:bCs/>
          <w:sz w:val="24"/>
          <w:szCs w:val="24"/>
        </w:rPr>
        <w:t>08:00h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    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lastRenderedPageBreak/>
        <w:t>7.5</w:t>
      </w:r>
      <w:r w:rsidR="00B6125C">
        <w:rPr>
          <w:rFonts w:cs="Arial"/>
          <w:sz w:val="24"/>
          <w:szCs w:val="24"/>
        </w:rPr>
        <w:t xml:space="preserve"> </w:t>
      </w:r>
      <w:r w:rsidR="00E361DB" w:rsidRPr="00D9083B">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lastRenderedPageBreak/>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r w:rsidRPr="00D9083B">
        <w:rPr>
          <w:szCs w:val="24"/>
        </w:rPr>
        <w:t>8.5</w:t>
      </w:r>
      <w:r w:rsidR="00B6125C">
        <w:rPr>
          <w:szCs w:val="24"/>
        </w:rPr>
        <w:t xml:space="preserve"> </w:t>
      </w:r>
      <w:r w:rsidR="000A10CB" w:rsidRPr="00D9083B">
        <w:rPr>
          <w:szCs w:val="24"/>
        </w:rPr>
        <w:t>Decorrido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Ocorrendo a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art. 87 do RILC ou na impossibilidade de se aplicar o disposto no caput deste artigo a Cesama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spacing w:before="120" w:line="360" w:lineRule="auto"/>
        <w:rPr>
          <w:rFonts w:cs="Arial"/>
          <w:sz w:val="24"/>
          <w:szCs w:val="24"/>
        </w:rPr>
      </w:pPr>
      <w:r w:rsidRPr="00D9083B">
        <w:rPr>
          <w:rFonts w:cs="Arial"/>
          <w:sz w:val="24"/>
          <w:szCs w:val="24"/>
        </w:rPr>
        <w:t>8.</w:t>
      </w:r>
      <w:r w:rsidR="00B7409E">
        <w:rPr>
          <w:rFonts w:cs="Arial"/>
          <w:sz w:val="24"/>
          <w:szCs w:val="24"/>
        </w:rPr>
        <w:t>9</w:t>
      </w:r>
      <w:r w:rsidRPr="00D9083B">
        <w:rPr>
          <w:rFonts w:cs="Arial"/>
          <w:sz w:val="24"/>
          <w:szCs w:val="24"/>
        </w:rPr>
        <w:t xml:space="preserve">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w:t>
      </w:r>
      <w:r w:rsidR="00B7409E">
        <w:rPr>
          <w:sz w:val="24"/>
          <w:szCs w:val="24"/>
        </w:rPr>
        <w:t>0</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B7409E" w:rsidRDefault="00460F2F" w:rsidP="00B7409E">
      <w:pPr>
        <w:pStyle w:val="PargrafodaLista"/>
        <w:spacing w:before="120" w:line="360" w:lineRule="auto"/>
        <w:ind w:left="700" w:hanging="700"/>
        <w:rPr>
          <w:rFonts w:ascii="Arial" w:hAnsi="Arial" w:cs="Arial"/>
        </w:rPr>
      </w:pPr>
      <w:r>
        <w:rPr>
          <w:rFonts w:ascii="Arial" w:hAnsi="Arial" w:cs="Arial"/>
        </w:rPr>
        <w:lastRenderedPageBreak/>
        <w:t>8.1</w:t>
      </w:r>
      <w:r w:rsidR="00B7409E">
        <w:rPr>
          <w:rFonts w:ascii="Arial" w:hAnsi="Arial" w:cs="Arial"/>
        </w:rPr>
        <w:t>1</w:t>
      </w:r>
      <w:r>
        <w:rPr>
          <w:rFonts w:ascii="Arial" w:hAnsi="Arial" w:cs="Arial"/>
        </w:rPr>
        <w:t xml:space="preserve"> </w:t>
      </w:r>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nos arts. 183 a 194 do Regulamento Interno de Licitações, Contratos e Convênios da Cesama.</w:t>
      </w:r>
      <w:r w:rsidR="002B272A" w:rsidRPr="00B7409E">
        <w:rPr>
          <w:rFonts w:ascii="Arial" w:hAnsi="Arial" w:cs="Arial"/>
        </w:rPr>
        <w:t xml:space="preserve"> </w:t>
      </w:r>
    </w:p>
    <w:p w:rsidR="00B7409E" w:rsidRPr="003F7B03" w:rsidRDefault="00B7409E" w:rsidP="00B7409E">
      <w:pPr>
        <w:spacing w:before="120" w:line="360" w:lineRule="auto"/>
        <w:rPr>
          <w:sz w:val="24"/>
          <w:szCs w:val="24"/>
        </w:rPr>
      </w:pPr>
      <w:r>
        <w:rPr>
          <w:sz w:val="24"/>
          <w:szCs w:val="24"/>
        </w:rPr>
        <w:t xml:space="preserve">8.12 </w:t>
      </w:r>
      <w:r w:rsidRPr="003F7B03">
        <w:rPr>
          <w:sz w:val="24"/>
          <w:szCs w:val="24"/>
        </w:rPr>
        <w:t>A inexecução total ou parcial do contrato poderá ensejar a sua rescisão, com as conseqüências cabíveis.</w:t>
      </w:r>
    </w:p>
    <w:p w:rsidR="00B7409E" w:rsidRPr="003F7B03" w:rsidRDefault="00B7409E" w:rsidP="00B7409E">
      <w:pPr>
        <w:spacing w:before="120" w:line="360" w:lineRule="auto"/>
        <w:rPr>
          <w:sz w:val="24"/>
          <w:szCs w:val="24"/>
        </w:rPr>
      </w:pPr>
      <w:r>
        <w:rPr>
          <w:sz w:val="24"/>
          <w:szCs w:val="24"/>
        </w:rPr>
        <w:t xml:space="preserve">8.13 </w:t>
      </w:r>
      <w:r w:rsidRPr="003F7B03">
        <w:rPr>
          <w:sz w:val="24"/>
          <w:szCs w:val="24"/>
        </w:rPr>
        <w:t>Constituem motivo para rescisão do contrato os especificados no art. 18</w:t>
      </w:r>
      <w:r>
        <w:rPr>
          <w:sz w:val="24"/>
          <w:szCs w:val="24"/>
        </w:rPr>
        <w:t>4</w:t>
      </w:r>
      <w:r w:rsidRPr="003F7B03">
        <w:rPr>
          <w:sz w:val="24"/>
          <w:szCs w:val="24"/>
        </w:rPr>
        <w:t xml:space="preserve"> e seguintes do RILC.</w:t>
      </w:r>
    </w:p>
    <w:p w:rsidR="00B7409E" w:rsidRPr="003F7B03" w:rsidRDefault="00B7409E" w:rsidP="00B7409E">
      <w:pPr>
        <w:spacing w:before="120" w:line="360" w:lineRule="auto"/>
        <w:rPr>
          <w:sz w:val="24"/>
          <w:szCs w:val="24"/>
        </w:rPr>
      </w:pPr>
      <w:r>
        <w:rPr>
          <w:sz w:val="24"/>
          <w:szCs w:val="24"/>
        </w:rPr>
        <w:t xml:space="preserve">8.14 </w:t>
      </w:r>
      <w:r w:rsidRPr="003F7B03">
        <w:rPr>
          <w:sz w:val="24"/>
          <w:szCs w:val="24"/>
        </w:rPr>
        <w:t xml:space="preserve">A rescisão do contrato poderá ser: </w:t>
      </w:r>
    </w:p>
    <w:p w:rsidR="00B7409E" w:rsidRPr="003F7B03" w:rsidRDefault="00B7409E" w:rsidP="00B7409E">
      <w:pPr>
        <w:spacing w:before="120" w:line="360" w:lineRule="auto"/>
        <w:rPr>
          <w:sz w:val="24"/>
          <w:szCs w:val="24"/>
        </w:rPr>
      </w:pPr>
      <w:r w:rsidRPr="003F7B03">
        <w:rPr>
          <w:sz w:val="24"/>
          <w:szCs w:val="24"/>
        </w:rPr>
        <w:t xml:space="preserve">a. por ato unilateral e escrito de qualquer das partes; </w:t>
      </w:r>
    </w:p>
    <w:p w:rsidR="00B7409E" w:rsidRPr="003F7B03" w:rsidRDefault="00B7409E" w:rsidP="00B7409E">
      <w:pPr>
        <w:spacing w:before="120" w:line="360" w:lineRule="auto"/>
        <w:rPr>
          <w:sz w:val="24"/>
          <w:szCs w:val="24"/>
        </w:rPr>
      </w:pPr>
      <w:r w:rsidRPr="003F7B03">
        <w:rPr>
          <w:sz w:val="24"/>
          <w:szCs w:val="24"/>
        </w:rPr>
        <w:t xml:space="preserve">b. amigável, por acordo entre as partes, reduzida a termo no processo de contratação, desde que haja conveniência para a Cesama; </w:t>
      </w:r>
    </w:p>
    <w:p w:rsidR="00B7409E" w:rsidRDefault="00B7409E" w:rsidP="00B7409E">
      <w:pPr>
        <w:spacing w:before="120" w:line="360" w:lineRule="auto"/>
        <w:rPr>
          <w:sz w:val="24"/>
          <w:szCs w:val="24"/>
        </w:rPr>
      </w:pPr>
      <w:r w:rsidRPr="003F7B03">
        <w:rPr>
          <w:sz w:val="24"/>
          <w:szCs w:val="24"/>
        </w:rPr>
        <w:t xml:space="preserve">c. judicial, nos termos da legislação. </w:t>
      </w:r>
    </w:p>
    <w:p w:rsidR="00ED2300" w:rsidRPr="003F7B03" w:rsidRDefault="00ED2300" w:rsidP="00B7409E">
      <w:pPr>
        <w:spacing w:before="120" w:line="360" w:lineRule="auto"/>
        <w:rPr>
          <w:sz w:val="24"/>
          <w:szCs w:val="24"/>
        </w:rPr>
      </w:pPr>
    </w:p>
    <w:p w:rsidR="00B7409E" w:rsidRPr="003F7B03" w:rsidRDefault="00B7409E" w:rsidP="00B7409E">
      <w:pPr>
        <w:spacing w:before="120" w:line="360" w:lineRule="auto"/>
        <w:rPr>
          <w:sz w:val="24"/>
          <w:szCs w:val="24"/>
        </w:rPr>
      </w:pPr>
      <w:r>
        <w:rPr>
          <w:sz w:val="24"/>
          <w:szCs w:val="24"/>
        </w:rPr>
        <w:t xml:space="preserve">8.15 </w:t>
      </w: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B7409E" w:rsidRPr="003F7B03" w:rsidRDefault="00ED2300" w:rsidP="00ED2300">
      <w:pPr>
        <w:spacing w:before="120" w:line="360" w:lineRule="auto"/>
        <w:rPr>
          <w:sz w:val="24"/>
          <w:szCs w:val="24"/>
        </w:rPr>
      </w:pPr>
      <w:r>
        <w:rPr>
          <w:sz w:val="24"/>
          <w:szCs w:val="24"/>
        </w:rPr>
        <w:t xml:space="preserve">8.16 </w:t>
      </w:r>
      <w:r w:rsidR="00B7409E" w:rsidRPr="003F7B03">
        <w:rPr>
          <w:sz w:val="24"/>
          <w:szCs w:val="24"/>
        </w:rPr>
        <w:t xml:space="preserve">Na hipótese de imprescindibilidade da execução contratual para a continuidade de serviços públicos essenciais, o prazo a que se refere o item </w:t>
      </w:r>
      <w:r w:rsidR="00B7409E">
        <w:rPr>
          <w:sz w:val="24"/>
          <w:szCs w:val="24"/>
        </w:rPr>
        <w:t>8.15</w:t>
      </w:r>
      <w:r w:rsidR="00B7409E" w:rsidRPr="003F7B03">
        <w:rPr>
          <w:sz w:val="24"/>
          <w:szCs w:val="24"/>
        </w:rPr>
        <w:t xml:space="preserve"> será de 90 (noventa) dias. </w:t>
      </w:r>
    </w:p>
    <w:p w:rsidR="00B7409E" w:rsidRPr="003F7B03" w:rsidRDefault="00ED2300" w:rsidP="00ED2300">
      <w:pPr>
        <w:spacing w:before="120" w:line="360" w:lineRule="auto"/>
        <w:rPr>
          <w:sz w:val="24"/>
          <w:szCs w:val="24"/>
        </w:rPr>
      </w:pPr>
      <w:r>
        <w:rPr>
          <w:sz w:val="24"/>
          <w:szCs w:val="24"/>
        </w:rPr>
        <w:t xml:space="preserve">8.17 </w:t>
      </w:r>
      <w:r w:rsidR="00B7409E"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B7409E" w:rsidRPr="003F7B03" w:rsidRDefault="00B7409E" w:rsidP="00B7409E">
      <w:pPr>
        <w:spacing w:before="120" w:line="360" w:lineRule="auto"/>
        <w:rPr>
          <w:sz w:val="24"/>
          <w:szCs w:val="24"/>
        </w:rPr>
      </w:pPr>
      <w:r w:rsidRPr="003F7B03">
        <w:rPr>
          <w:sz w:val="24"/>
          <w:szCs w:val="24"/>
        </w:rPr>
        <w:t xml:space="preserve">a. devolução da garantia; </w:t>
      </w:r>
    </w:p>
    <w:p w:rsidR="00B7409E" w:rsidRPr="003F7B03" w:rsidRDefault="00B7409E" w:rsidP="00B7409E">
      <w:pPr>
        <w:spacing w:before="120" w:line="360" w:lineRule="auto"/>
        <w:rPr>
          <w:sz w:val="24"/>
          <w:szCs w:val="24"/>
        </w:rPr>
      </w:pPr>
      <w:r w:rsidRPr="003F7B03">
        <w:rPr>
          <w:sz w:val="24"/>
          <w:szCs w:val="24"/>
        </w:rPr>
        <w:t xml:space="preserve">b. pagamentos devidos pela execução do contrato até a data da rescisão; </w:t>
      </w:r>
    </w:p>
    <w:p w:rsidR="00B7409E" w:rsidRDefault="00B7409E" w:rsidP="00B7409E">
      <w:pPr>
        <w:spacing w:before="120" w:line="360" w:lineRule="auto"/>
        <w:rPr>
          <w:sz w:val="24"/>
          <w:szCs w:val="24"/>
        </w:rPr>
      </w:pPr>
      <w:r w:rsidRPr="003F7B03">
        <w:rPr>
          <w:sz w:val="24"/>
          <w:szCs w:val="24"/>
        </w:rPr>
        <w:t>c. pagamento do custo da desmobilização.</w:t>
      </w:r>
    </w:p>
    <w:p w:rsidR="00CF2789" w:rsidRDefault="00CF2789" w:rsidP="002B272A">
      <w:pPr>
        <w:spacing w:before="120" w:line="360" w:lineRule="auto"/>
        <w:rPr>
          <w:sz w:val="24"/>
          <w:szCs w:val="24"/>
        </w:rPr>
      </w:pPr>
    </w:p>
    <w:p w:rsidR="00ED2300" w:rsidRDefault="00ED2300" w:rsidP="002B272A">
      <w:pPr>
        <w:spacing w:before="120" w:line="360" w:lineRule="auto"/>
        <w:rPr>
          <w:sz w:val="24"/>
          <w:szCs w:val="24"/>
        </w:rPr>
      </w:pPr>
    </w:p>
    <w:p w:rsidR="00ED2300" w:rsidRDefault="00ED2300" w:rsidP="002B272A">
      <w:pPr>
        <w:spacing w:before="120" w:line="360" w:lineRule="auto"/>
        <w:rPr>
          <w:sz w:val="24"/>
          <w:szCs w:val="24"/>
        </w:rPr>
      </w:pPr>
    </w:p>
    <w:p w:rsidR="00AC1B4D" w:rsidRPr="00AC1B4D" w:rsidRDefault="00F04709" w:rsidP="00F04709">
      <w:pPr>
        <w:autoSpaceDE w:val="0"/>
        <w:autoSpaceDN w:val="0"/>
        <w:adjustRightInd w:val="0"/>
        <w:spacing w:before="480" w:line="360" w:lineRule="auto"/>
        <w:rPr>
          <w:rFonts w:cs="Arial"/>
          <w:b/>
          <w:bCs/>
          <w:sz w:val="24"/>
          <w:szCs w:val="24"/>
        </w:rPr>
      </w:pPr>
      <w:r w:rsidRPr="00F04709">
        <w:rPr>
          <w:rFonts w:cs="Arial"/>
          <w:b/>
          <w:bCs/>
          <w:sz w:val="24"/>
          <w:szCs w:val="24"/>
        </w:rPr>
        <w:lastRenderedPageBreak/>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9.1.</w:t>
      </w:r>
      <w:r w:rsidRPr="00AC1B4D">
        <w:rPr>
          <w:rFonts w:cs="Arial"/>
          <w:sz w:val="24"/>
          <w:szCs w:val="24"/>
        </w:rPr>
        <w:tab/>
        <w:t>A CESAMA efetuará os pagamentos 30 (trinta) dias após a entrega dos materiais juntamente com a apresentação e aceitação da Nota Fiscal / Fatura pelo departamento competente.</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9.1.1.</w:t>
      </w:r>
      <w:r w:rsidRPr="00AC1B4D">
        <w:rPr>
          <w:rFonts w:cs="Arial"/>
          <w:sz w:val="24"/>
          <w:szCs w:val="24"/>
        </w:rPr>
        <w:tab/>
        <w:t xml:space="preserve">Caso o vencimento ocorra no sábado, domingo, feriado ou ponto facultativo para a Cesama, o pagamento será realizado no primeiro dia subseqüente. </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9.2.</w:t>
      </w:r>
      <w:r w:rsidRPr="00AC1B4D">
        <w:rPr>
          <w:rFonts w:cs="Arial"/>
          <w:sz w:val="24"/>
          <w:szCs w:val="24"/>
        </w:rPr>
        <w:tab/>
        <w:t>O pagamento será efetuado através de depósito em conta bancária ou via TED (transferência eletrônica disponível), cujas tarifas extras correrão por conta da Contratada.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9.2.1.</w:t>
      </w:r>
      <w:r w:rsidRPr="00AC1B4D">
        <w:rPr>
          <w:rFonts w:cs="Arial"/>
          <w:sz w:val="24"/>
          <w:szCs w:val="24"/>
        </w:rPr>
        <w:tab/>
        <w:t xml:space="preserve">A Nota Fiscal Eletrônica – NF-e – deverá ser enviada para o e-mail nfe@cesama.com.br. </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9.2.1.1.</w:t>
      </w:r>
      <w:r w:rsidRPr="00AC1B4D">
        <w:rPr>
          <w:rFonts w:cs="Arial"/>
          <w:sz w:val="24"/>
          <w:szCs w:val="24"/>
        </w:rPr>
        <w:tab/>
        <w:t xml:space="preserve">O pagamento só poderá ser realizado em nome do fornecedor e os boletos não poderão, em hipótese nenhuma, ser pagos em nome de outro beneficiário. </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9.2.2.</w:t>
      </w:r>
      <w:r w:rsidRPr="00AC1B4D">
        <w:rPr>
          <w:rFonts w:cs="Arial"/>
          <w:sz w:val="24"/>
          <w:szCs w:val="24"/>
        </w:rPr>
        <w:tab/>
        <w:t>Deverá constar na descrição da Nota Fiscal / Fatura o número da licitação e número da Ordem de Compra.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9.3.</w:t>
      </w:r>
      <w:r w:rsidRPr="00AC1B4D">
        <w:rPr>
          <w:rFonts w:cs="Arial"/>
          <w:sz w:val="24"/>
          <w:szCs w:val="24"/>
        </w:rPr>
        <w:tab/>
        <w:t>O pagamento SOMENTE será efetuado: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a)</w:t>
      </w:r>
      <w:r w:rsidRPr="00AC1B4D">
        <w:rPr>
          <w:rFonts w:cs="Arial"/>
          <w:sz w:val="24"/>
          <w:szCs w:val="24"/>
        </w:rPr>
        <w:tab/>
        <w:t>Após a aceitação da Nota Fiscal / Fatura.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b)</w:t>
      </w:r>
      <w:r w:rsidRPr="00AC1B4D">
        <w:rPr>
          <w:rFonts w:cs="Arial"/>
          <w:sz w:val="24"/>
          <w:szCs w:val="24"/>
        </w:rPr>
        <w:tab/>
        <w:t>Após o recolhimento pela adjudicatária de quaisquer multas que lhe tenham sido impostas em decorrência de inadimplemento contratual.</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9.4.</w:t>
      </w:r>
      <w:r w:rsidRPr="00AC1B4D">
        <w:rPr>
          <w:rFonts w:cs="Arial"/>
          <w:sz w:val="24"/>
          <w:szCs w:val="24"/>
        </w:rPr>
        <w:tab/>
        <w:t>Na Nota Fiscal / Fatura (em duas vias) deverão ser anexadas as certidões atualizadas de regularidade junto ao INSS, ao FGTS e à Justiça do Trabalho.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9.5.</w:t>
      </w:r>
      <w:r w:rsidRPr="00AC1B4D">
        <w:rPr>
          <w:rFonts w:cs="Arial"/>
          <w:sz w:val="24"/>
          <w:szCs w:val="24"/>
        </w:rPr>
        <w:tab/>
        <w:t>Na eventualidade de aplicação de multas, estas deverão ser liquidadas simultaneamente com parcela vinculada ao evento cujo descumprimento der origem à aplicação da penalidade.</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9.6.</w:t>
      </w:r>
      <w:r w:rsidRPr="00AC1B4D">
        <w:rPr>
          <w:rFonts w:cs="Arial"/>
          <w:sz w:val="24"/>
          <w:szCs w:val="24"/>
        </w:rPr>
        <w:tab/>
        <w:t>O CNPJ da Contratada constante da Nota Fiscal / Fatura deverá ser o mesmo da documentação apresentada na licitação.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9.7.</w:t>
      </w:r>
      <w:r w:rsidRPr="00AC1B4D">
        <w:rPr>
          <w:rFonts w:cs="Arial"/>
          <w:sz w:val="24"/>
          <w:szCs w:val="24"/>
        </w:rPr>
        <w:tab/>
        <w:t>A proponente tem conhecimento dos termos do Decreto 8.542 de 09/05/2005, que regulamenta o reajuste de preços nos contratos da Administração Pública Municipal Direta e Indireta e cujas normas se incorporam ao Contrato (Ordem de Compra), no que couber.</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9.8.</w:t>
      </w:r>
      <w:r w:rsidRPr="00AC1B4D">
        <w:rPr>
          <w:rFonts w:cs="Arial"/>
          <w:sz w:val="24"/>
          <w:szCs w:val="24"/>
        </w:rPr>
        <w:tab/>
        <w:t xml:space="preserve">Na hipótese de ocorrer atraso no pagamento da Nota Fiscal / Fatura por responsabilidade da CESAMA, esta se compromete a aplicar, conforme legislação </w:t>
      </w:r>
      <w:r w:rsidRPr="00AC1B4D">
        <w:rPr>
          <w:rFonts w:cs="Arial"/>
          <w:sz w:val="24"/>
          <w:szCs w:val="24"/>
        </w:rPr>
        <w:lastRenderedPageBreak/>
        <w:t>em vigor, juros de mora sobre o valor devido “pro rata” entre a data do vencimento e o efetivo pagamento.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9.9.</w:t>
      </w:r>
      <w:r w:rsidRPr="00AC1B4D">
        <w:rPr>
          <w:rFonts w:cs="Arial"/>
          <w:sz w:val="24"/>
          <w:szCs w:val="24"/>
        </w:rPr>
        <w:tab/>
        <w:t>A Contratada não poderá ceder ou dar em garantia, em qualquer hipótese, no todo ou em parte, os créditos de qualquer natureza, decorrentes ou oriundos do Contrato (Ordem de Compra).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9.10.</w:t>
      </w:r>
      <w:r w:rsidRPr="00AC1B4D">
        <w:rPr>
          <w:rFonts w:cs="Arial"/>
          <w:sz w:val="24"/>
          <w:szCs w:val="24"/>
        </w:rPr>
        <w:tab/>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9.11.</w:t>
      </w:r>
      <w:r w:rsidRPr="00AC1B4D">
        <w:rPr>
          <w:rFonts w:cs="Arial"/>
          <w:sz w:val="24"/>
          <w:szCs w:val="24"/>
        </w:rPr>
        <w:tab/>
        <w:t xml:space="preserve">A antecipação de pagamento só poderá ocorrer caso o produto / material tenha sido entregue. </w:t>
      </w:r>
    </w:p>
    <w:p w:rsidR="00AC1B4D" w:rsidRDefault="00AC1B4D" w:rsidP="00AC1B4D">
      <w:pPr>
        <w:autoSpaceDE w:val="0"/>
        <w:autoSpaceDN w:val="0"/>
        <w:adjustRightInd w:val="0"/>
        <w:spacing w:line="360" w:lineRule="auto"/>
        <w:rPr>
          <w:rFonts w:cs="Arial"/>
          <w:sz w:val="24"/>
          <w:szCs w:val="24"/>
        </w:rPr>
      </w:pPr>
      <w:r w:rsidRPr="00AC1B4D">
        <w:rPr>
          <w:rFonts w:cs="Arial"/>
          <w:sz w:val="24"/>
          <w:szCs w:val="24"/>
        </w:rPr>
        <w:t>9.12.</w:t>
      </w:r>
      <w:r w:rsidRPr="00AC1B4D">
        <w:rPr>
          <w:rFonts w:cs="Arial"/>
          <w:sz w:val="24"/>
          <w:szCs w:val="24"/>
        </w:rPr>
        <w:tab/>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“pro rata”.</w:t>
      </w:r>
    </w:p>
    <w:p w:rsidR="00AC1B4D" w:rsidRDefault="00AC1B4D" w:rsidP="00AC1B4D">
      <w:pPr>
        <w:autoSpaceDE w:val="0"/>
        <w:autoSpaceDN w:val="0"/>
        <w:adjustRightInd w:val="0"/>
        <w:spacing w:line="360" w:lineRule="auto"/>
        <w:rPr>
          <w:rFonts w:cs="Arial"/>
          <w:sz w:val="24"/>
          <w:szCs w:val="24"/>
        </w:rPr>
      </w:pPr>
    </w:p>
    <w:p w:rsidR="00B41EF6" w:rsidRPr="00D3175A" w:rsidRDefault="00D3175A" w:rsidP="00AC1B4D">
      <w:pPr>
        <w:autoSpaceDE w:val="0"/>
        <w:autoSpaceDN w:val="0"/>
        <w:adjustRightInd w:val="0"/>
        <w:spacing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lastRenderedPageBreak/>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CB3CFF" w:rsidRPr="00D9083B" w:rsidRDefault="00CB3CFF" w:rsidP="00B6125C">
      <w:pPr>
        <w:suppressAutoHyphens w:val="0"/>
        <w:autoSpaceDE w:val="0"/>
        <w:autoSpaceDN w:val="0"/>
        <w:adjustRightInd w:val="0"/>
        <w:spacing w:before="120" w:line="360" w:lineRule="auto"/>
        <w:ind w:firstLine="567"/>
        <w:rPr>
          <w:rFonts w:cs="Arial"/>
          <w:sz w:val="24"/>
          <w:szCs w:val="24"/>
        </w:rPr>
      </w:pPr>
      <w:r w:rsidRPr="00823BEB">
        <w:rPr>
          <w:rFonts w:cs="Arial"/>
          <w:sz w:val="24"/>
          <w:szCs w:val="24"/>
        </w:rPr>
        <w:t xml:space="preserve">O(s) preço(s) unitário(s) ofertado(s) pelo(s) proponente(s) </w:t>
      </w:r>
      <w:r w:rsidRPr="00823BEB">
        <w:rPr>
          <w:rFonts w:cs="Arial"/>
          <w:b/>
          <w:sz w:val="24"/>
          <w:szCs w:val="24"/>
        </w:rPr>
        <w:t xml:space="preserve">NÃO PODERÁ(ÃO) SER SUPERIOR(ES) </w:t>
      </w:r>
      <w:r w:rsidRPr="00823BEB">
        <w:rPr>
          <w:rFonts w:cs="Arial"/>
          <w:sz w:val="24"/>
          <w:szCs w:val="24"/>
        </w:rPr>
        <w:t>ao(s) preço(s) unitário(s) levantado(s) pela Cesama</w:t>
      </w:r>
      <w:r>
        <w:rPr>
          <w:rFonts w:cs="Arial"/>
          <w:sz w:val="24"/>
          <w:szCs w:val="24"/>
        </w:rPr>
        <w:t xml:space="preserve">. </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lastRenderedPageBreak/>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14.4 </w:t>
      </w:r>
      <w:r w:rsidR="001E1C08" w:rsidRPr="00D9083B">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lastRenderedPageBreak/>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7977A7" w:rsidRDefault="00A236A1" w:rsidP="00A236A1">
      <w:pPr>
        <w:suppressAutoHyphens w:val="0"/>
        <w:autoSpaceDE w:val="0"/>
        <w:autoSpaceDN w:val="0"/>
        <w:adjustRightInd w:val="0"/>
        <w:spacing w:before="60" w:after="60" w:line="320" w:lineRule="exact"/>
        <w:jc w:val="center"/>
        <w:rPr>
          <w:rFonts w:cs="Arial"/>
          <w:b/>
          <w:bCs/>
          <w:sz w:val="22"/>
          <w:szCs w:val="22"/>
        </w:rPr>
      </w:pPr>
      <w:r>
        <w:rPr>
          <w:rFonts w:cs="Arial"/>
          <w:b/>
          <w:bCs/>
          <w:sz w:val="22"/>
          <w:szCs w:val="22"/>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AC1B4D" w:rsidRDefault="00AC1B4D" w:rsidP="005513C4">
      <w:pPr>
        <w:suppressAutoHyphens w:val="0"/>
        <w:autoSpaceDE w:val="0"/>
        <w:autoSpaceDN w:val="0"/>
        <w:adjustRightInd w:val="0"/>
        <w:spacing w:before="60" w:after="60" w:line="320" w:lineRule="exact"/>
        <w:rPr>
          <w:rFonts w:cs="Arial"/>
          <w:b/>
          <w:bCs/>
          <w:sz w:val="22"/>
          <w:szCs w:val="22"/>
        </w:rPr>
      </w:pPr>
    </w:p>
    <w:p w:rsidR="00A236A1" w:rsidRDefault="00A236A1" w:rsidP="005513C4">
      <w:pPr>
        <w:suppressAutoHyphens w:val="0"/>
        <w:autoSpaceDE w:val="0"/>
        <w:autoSpaceDN w:val="0"/>
        <w:adjustRightInd w:val="0"/>
        <w:spacing w:before="60" w:after="60" w:line="320" w:lineRule="exact"/>
        <w:rPr>
          <w:rFonts w:cs="Arial"/>
          <w:b/>
          <w:bCs/>
          <w:sz w:val="22"/>
          <w:szCs w:val="22"/>
        </w:rPr>
      </w:pPr>
    </w:p>
    <w:p w:rsidR="00B6125C" w:rsidRPr="00D9083B" w:rsidRDefault="00A236A1" w:rsidP="00A236A1">
      <w:pPr>
        <w:suppressAutoHyphens w:val="0"/>
        <w:autoSpaceDE w:val="0"/>
        <w:autoSpaceDN w:val="0"/>
        <w:adjustRightInd w:val="0"/>
        <w:spacing w:before="60" w:after="60" w:line="320" w:lineRule="exact"/>
        <w:jc w:val="center"/>
        <w:rPr>
          <w:rFonts w:cs="Arial"/>
          <w:b/>
          <w:bCs/>
          <w:sz w:val="22"/>
          <w:szCs w:val="22"/>
        </w:rPr>
      </w:pPr>
      <w:r>
        <w:rPr>
          <w:rFonts w:cs="Arial"/>
          <w:b/>
          <w:bCs/>
          <w:sz w:val="22"/>
          <w:szCs w:val="22"/>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8"/>
      <w:headerReference w:type="default" r:id="rId9"/>
      <w:footerReference w:type="default" r:id="rId10"/>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803" w:rsidRDefault="00474803">
      <w:r>
        <w:separator/>
      </w:r>
    </w:p>
  </w:endnote>
  <w:endnote w:type="continuationSeparator" w:id="1">
    <w:p w:rsidR="00474803" w:rsidRDefault="004748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300" w:rsidRDefault="00ED2300"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ED2300" w:rsidRPr="00020390" w:rsidRDefault="00ED2300" w:rsidP="00D9083B">
    <w:pPr>
      <w:pStyle w:val="Rodap"/>
      <w:tabs>
        <w:tab w:val="right" w:pos="8505"/>
      </w:tabs>
      <w:ind w:right="-1"/>
      <w:jc w:val="center"/>
      <w:rPr>
        <w:rFonts w:cs="Arial"/>
        <w:sz w:val="14"/>
        <w:szCs w:val="14"/>
      </w:rPr>
    </w:pPr>
    <w:r>
      <w:rPr>
        <w:rFonts w:cs="Arial"/>
        <w:bCs/>
        <w:sz w:val="14"/>
        <w:szCs w:val="14"/>
      </w:rPr>
      <w:t>CNPJ 21.572.243/0001-74</w:t>
    </w:r>
    <w:r w:rsidRPr="00020390">
      <w:rPr>
        <w:rFonts w:cs="Arial"/>
        <w:bCs/>
        <w:sz w:val="14"/>
        <w:szCs w:val="14"/>
      </w:rPr>
      <w:t>I.E. 367.698.776.0099</w:t>
    </w:r>
    <w:r>
      <w:rPr>
        <w:rFonts w:cs="Arial"/>
        <w:bCs/>
        <w:sz w:val="14"/>
        <w:szCs w:val="14"/>
      </w:rPr>
      <w:t xml:space="preserve">                       </w:t>
    </w:r>
  </w:p>
  <w:p w:rsidR="00ED2300" w:rsidRPr="00DC08CD" w:rsidRDefault="00ED2300"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ED2300" w:rsidRPr="00DC08CD" w:rsidRDefault="00ED2300"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803" w:rsidRDefault="00474803">
      <w:r>
        <w:separator/>
      </w:r>
    </w:p>
  </w:footnote>
  <w:footnote w:type="continuationSeparator" w:id="1">
    <w:p w:rsidR="00474803" w:rsidRDefault="004748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300" w:rsidRDefault="007A7D53">
    <w:pPr>
      <w:pStyle w:val="Cabealho"/>
      <w:framePr w:wrap="around" w:vAnchor="text" w:hAnchor="margin" w:xAlign="right" w:y="1"/>
      <w:rPr>
        <w:rStyle w:val="Nmerodepgina"/>
      </w:rPr>
    </w:pPr>
    <w:r>
      <w:rPr>
        <w:rStyle w:val="Nmerodepgina"/>
      </w:rPr>
      <w:fldChar w:fldCharType="begin"/>
    </w:r>
    <w:r w:rsidR="00ED2300">
      <w:rPr>
        <w:rStyle w:val="Nmerodepgina"/>
      </w:rPr>
      <w:instrText xml:space="preserve">PAGE  </w:instrText>
    </w:r>
    <w:r>
      <w:rPr>
        <w:rStyle w:val="Nmerodepgina"/>
      </w:rPr>
      <w:fldChar w:fldCharType="end"/>
    </w:r>
  </w:p>
  <w:p w:rsidR="00ED2300" w:rsidRDefault="00ED230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300" w:rsidRPr="00D9152C" w:rsidRDefault="00ED2300"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1"/>
  </w:num>
  <w:num w:numId="3">
    <w:abstractNumId w:val="22"/>
  </w:num>
  <w:num w:numId="4">
    <w:abstractNumId w:val="17"/>
  </w:num>
  <w:num w:numId="5">
    <w:abstractNumId w:val="16"/>
  </w:num>
  <w:num w:numId="6">
    <w:abstractNumId w:val="10"/>
  </w:num>
  <w:num w:numId="7">
    <w:abstractNumId w:val="19"/>
  </w:num>
  <w:num w:numId="8">
    <w:abstractNumId w:val="27"/>
  </w:num>
  <w:num w:numId="9">
    <w:abstractNumId w:val="30"/>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2"/>
  </w:num>
  <w:num w:numId="22">
    <w:abstractNumId w:val="29"/>
  </w:num>
  <w:num w:numId="23">
    <w:abstractNumId w:val="24"/>
  </w:num>
  <w:num w:numId="24">
    <w:abstractNumId w:val="28"/>
  </w:num>
  <w:num w:numId="25">
    <w:abstractNumId w:val="14"/>
  </w:num>
  <w:num w:numId="26">
    <w:abstractNumId w:val="25"/>
  </w:num>
  <w:num w:numId="27">
    <w:abstractNumId w:val="23"/>
  </w:num>
  <w:num w:numId="28">
    <w:abstractNumId w:val="21"/>
  </w:num>
  <w:num w:numId="2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8499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2A08"/>
    <w:rsid w:val="00145A41"/>
    <w:rsid w:val="00151CE1"/>
    <w:rsid w:val="001536C6"/>
    <w:rsid w:val="00155C17"/>
    <w:rsid w:val="001707E5"/>
    <w:rsid w:val="001712BA"/>
    <w:rsid w:val="00176E83"/>
    <w:rsid w:val="001775AD"/>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3B83"/>
    <w:rsid w:val="00205837"/>
    <w:rsid w:val="002067F8"/>
    <w:rsid w:val="00223E06"/>
    <w:rsid w:val="00225035"/>
    <w:rsid w:val="00227C23"/>
    <w:rsid w:val="00234D3B"/>
    <w:rsid w:val="00243DE8"/>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03CC"/>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2F010F"/>
    <w:rsid w:val="003044CB"/>
    <w:rsid w:val="003074E7"/>
    <w:rsid w:val="0030758C"/>
    <w:rsid w:val="0031380D"/>
    <w:rsid w:val="00313C43"/>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4680"/>
    <w:rsid w:val="0037730C"/>
    <w:rsid w:val="00380FD5"/>
    <w:rsid w:val="00383AB0"/>
    <w:rsid w:val="00395297"/>
    <w:rsid w:val="00396134"/>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176F1"/>
    <w:rsid w:val="0042214D"/>
    <w:rsid w:val="00432517"/>
    <w:rsid w:val="004351D3"/>
    <w:rsid w:val="004422C8"/>
    <w:rsid w:val="00442500"/>
    <w:rsid w:val="00445EE5"/>
    <w:rsid w:val="00453682"/>
    <w:rsid w:val="0045681F"/>
    <w:rsid w:val="00456ADB"/>
    <w:rsid w:val="00457A15"/>
    <w:rsid w:val="00460C81"/>
    <w:rsid w:val="00460F2F"/>
    <w:rsid w:val="00461FC4"/>
    <w:rsid w:val="00462452"/>
    <w:rsid w:val="00467B6C"/>
    <w:rsid w:val="004727D1"/>
    <w:rsid w:val="00473974"/>
    <w:rsid w:val="00474803"/>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1318"/>
    <w:rsid w:val="004F3C5F"/>
    <w:rsid w:val="004F54F5"/>
    <w:rsid w:val="00503883"/>
    <w:rsid w:val="00504A2A"/>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4D91"/>
    <w:rsid w:val="00605151"/>
    <w:rsid w:val="00605435"/>
    <w:rsid w:val="00606192"/>
    <w:rsid w:val="00606F88"/>
    <w:rsid w:val="00607DF9"/>
    <w:rsid w:val="00613F38"/>
    <w:rsid w:val="006144EB"/>
    <w:rsid w:val="00614B03"/>
    <w:rsid w:val="00614D3E"/>
    <w:rsid w:val="00617B68"/>
    <w:rsid w:val="00620019"/>
    <w:rsid w:val="006217DC"/>
    <w:rsid w:val="00626012"/>
    <w:rsid w:val="00637945"/>
    <w:rsid w:val="00637F51"/>
    <w:rsid w:val="0064088B"/>
    <w:rsid w:val="00640FCF"/>
    <w:rsid w:val="006425B3"/>
    <w:rsid w:val="0064759A"/>
    <w:rsid w:val="00647D35"/>
    <w:rsid w:val="00650D44"/>
    <w:rsid w:val="00650E8D"/>
    <w:rsid w:val="00655EAD"/>
    <w:rsid w:val="00662CAC"/>
    <w:rsid w:val="00665B57"/>
    <w:rsid w:val="0066632B"/>
    <w:rsid w:val="006709A6"/>
    <w:rsid w:val="00670D7F"/>
    <w:rsid w:val="00683FBB"/>
    <w:rsid w:val="00684679"/>
    <w:rsid w:val="006846E6"/>
    <w:rsid w:val="00686065"/>
    <w:rsid w:val="00686076"/>
    <w:rsid w:val="00686863"/>
    <w:rsid w:val="00687021"/>
    <w:rsid w:val="00687E6F"/>
    <w:rsid w:val="00694451"/>
    <w:rsid w:val="00694C09"/>
    <w:rsid w:val="0069799A"/>
    <w:rsid w:val="006A17C1"/>
    <w:rsid w:val="006A3FEE"/>
    <w:rsid w:val="006A6321"/>
    <w:rsid w:val="006C0F3C"/>
    <w:rsid w:val="006C15AC"/>
    <w:rsid w:val="006C62E0"/>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531C5"/>
    <w:rsid w:val="00756995"/>
    <w:rsid w:val="007604C9"/>
    <w:rsid w:val="007652F2"/>
    <w:rsid w:val="007662F6"/>
    <w:rsid w:val="00770B74"/>
    <w:rsid w:val="00770EB4"/>
    <w:rsid w:val="00780E8C"/>
    <w:rsid w:val="00790D53"/>
    <w:rsid w:val="00790F59"/>
    <w:rsid w:val="00795CF2"/>
    <w:rsid w:val="007977A7"/>
    <w:rsid w:val="007A09B4"/>
    <w:rsid w:val="007A49C0"/>
    <w:rsid w:val="007A7D53"/>
    <w:rsid w:val="007B067C"/>
    <w:rsid w:val="007B4507"/>
    <w:rsid w:val="007C0481"/>
    <w:rsid w:val="007C09B1"/>
    <w:rsid w:val="007C1148"/>
    <w:rsid w:val="007C3CE0"/>
    <w:rsid w:val="007C6F05"/>
    <w:rsid w:val="007D050F"/>
    <w:rsid w:val="007D2F9D"/>
    <w:rsid w:val="007D58F7"/>
    <w:rsid w:val="007D5FD5"/>
    <w:rsid w:val="007E4C53"/>
    <w:rsid w:val="007E4CB4"/>
    <w:rsid w:val="007F0CED"/>
    <w:rsid w:val="007F1B8C"/>
    <w:rsid w:val="007F5D7A"/>
    <w:rsid w:val="007F6D09"/>
    <w:rsid w:val="007F75B3"/>
    <w:rsid w:val="008020DC"/>
    <w:rsid w:val="00804EA7"/>
    <w:rsid w:val="00804F10"/>
    <w:rsid w:val="0080639A"/>
    <w:rsid w:val="00806966"/>
    <w:rsid w:val="00807263"/>
    <w:rsid w:val="0081102C"/>
    <w:rsid w:val="00811CCD"/>
    <w:rsid w:val="00812434"/>
    <w:rsid w:val="00812F34"/>
    <w:rsid w:val="00813B26"/>
    <w:rsid w:val="00815440"/>
    <w:rsid w:val="00817F3F"/>
    <w:rsid w:val="0082207F"/>
    <w:rsid w:val="00840F6D"/>
    <w:rsid w:val="008421DA"/>
    <w:rsid w:val="008431ED"/>
    <w:rsid w:val="0084731C"/>
    <w:rsid w:val="0084755A"/>
    <w:rsid w:val="00853ACE"/>
    <w:rsid w:val="008558C3"/>
    <w:rsid w:val="00856066"/>
    <w:rsid w:val="0086017F"/>
    <w:rsid w:val="008619F9"/>
    <w:rsid w:val="008630B4"/>
    <w:rsid w:val="008637B4"/>
    <w:rsid w:val="00864348"/>
    <w:rsid w:val="00875E9D"/>
    <w:rsid w:val="008805F6"/>
    <w:rsid w:val="00894943"/>
    <w:rsid w:val="008971F6"/>
    <w:rsid w:val="008A0DB1"/>
    <w:rsid w:val="008A1758"/>
    <w:rsid w:val="008A6BC7"/>
    <w:rsid w:val="008B6189"/>
    <w:rsid w:val="008C47B6"/>
    <w:rsid w:val="008C5B84"/>
    <w:rsid w:val="008C6FC5"/>
    <w:rsid w:val="008D010F"/>
    <w:rsid w:val="008D357F"/>
    <w:rsid w:val="008E0907"/>
    <w:rsid w:val="008E1393"/>
    <w:rsid w:val="008E3280"/>
    <w:rsid w:val="008E56D5"/>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22DBB"/>
    <w:rsid w:val="009316A8"/>
    <w:rsid w:val="009349FD"/>
    <w:rsid w:val="00940D92"/>
    <w:rsid w:val="00944735"/>
    <w:rsid w:val="009504F2"/>
    <w:rsid w:val="00955B2F"/>
    <w:rsid w:val="00956E3F"/>
    <w:rsid w:val="00960095"/>
    <w:rsid w:val="00960137"/>
    <w:rsid w:val="00966B63"/>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236A1"/>
    <w:rsid w:val="00A3325C"/>
    <w:rsid w:val="00A348A0"/>
    <w:rsid w:val="00A359CD"/>
    <w:rsid w:val="00A47B8D"/>
    <w:rsid w:val="00A47ECC"/>
    <w:rsid w:val="00A51CD9"/>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1B4D"/>
    <w:rsid w:val="00AC3704"/>
    <w:rsid w:val="00AC54E3"/>
    <w:rsid w:val="00AC5D40"/>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16AD"/>
    <w:rsid w:val="00B52770"/>
    <w:rsid w:val="00B54490"/>
    <w:rsid w:val="00B54E57"/>
    <w:rsid w:val="00B6125C"/>
    <w:rsid w:val="00B61E9B"/>
    <w:rsid w:val="00B63B65"/>
    <w:rsid w:val="00B65D05"/>
    <w:rsid w:val="00B7060B"/>
    <w:rsid w:val="00B7103E"/>
    <w:rsid w:val="00B716CD"/>
    <w:rsid w:val="00B7409E"/>
    <w:rsid w:val="00B86D5E"/>
    <w:rsid w:val="00B86F30"/>
    <w:rsid w:val="00B90143"/>
    <w:rsid w:val="00B9099B"/>
    <w:rsid w:val="00B91174"/>
    <w:rsid w:val="00B922BA"/>
    <w:rsid w:val="00B925C3"/>
    <w:rsid w:val="00B9443B"/>
    <w:rsid w:val="00B94EAE"/>
    <w:rsid w:val="00B95123"/>
    <w:rsid w:val="00BA11A5"/>
    <w:rsid w:val="00BA3987"/>
    <w:rsid w:val="00BA5491"/>
    <w:rsid w:val="00BB3D69"/>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1BB4"/>
    <w:rsid w:val="00C64146"/>
    <w:rsid w:val="00C7354C"/>
    <w:rsid w:val="00C74789"/>
    <w:rsid w:val="00C80FF8"/>
    <w:rsid w:val="00C871D1"/>
    <w:rsid w:val="00C907FF"/>
    <w:rsid w:val="00C90854"/>
    <w:rsid w:val="00C925F9"/>
    <w:rsid w:val="00C94C4B"/>
    <w:rsid w:val="00CA79D2"/>
    <w:rsid w:val="00CB1A91"/>
    <w:rsid w:val="00CB3CFF"/>
    <w:rsid w:val="00CB4C5E"/>
    <w:rsid w:val="00CB5B64"/>
    <w:rsid w:val="00CB7F44"/>
    <w:rsid w:val="00CC0275"/>
    <w:rsid w:val="00CC0BF0"/>
    <w:rsid w:val="00CD3EC3"/>
    <w:rsid w:val="00CD3FCF"/>
    <w:rsid w:val="00CD455D"/>
    <w:rsid w:val="00CD7A6F"/>
    <w:rsid w:val="00CD7FAC"/>
    <w:rsid w:val="00CE1A43"/>
    <w:rsid w:val="00CE22E1"/>
    <w:rsid w:val="00CF0426"/>
    <w:rsid w:val="00CF2789"/>
    <w:rsid w:val="00CF5E14"/>
    <w:rsid w:val="00D00068"/>
    <w:rsid w:val="00D004D7"/>
    <w:rsid w:val="00D03A60"/>
    <w:rsid w:val="00D05CCF"/>
    <w:rsid w:val="00D06235"/>
    <w:rsid w:val="00D10FAB"/>
    <w:rsid w:val="00D11BEA"/>
    <w:rsid w:val="00D13D92"/>
    <w:rsid w:val="00D15F23"/>
    <w:rsid w:val="00D17F75"/>
    <w:rsid w:val="00D219AF"/>
    <w:rsid w:val="00D225AE"/>
    <w:rsid w:val="00D238AB"/>
    <w:rsid w:val="00D26E4A"/>
    <w:rsid w:val="00D3175A"/>
    <w:rsid w:val="00D344CE"/>
    <w:rsid w:val="00D35067"/>
    <w:rsid w:val="00D36EB1"/>
    <w:rsid w:val="00D44F5E"/>
    <w:rsid w:val="00D46428"/>
    <w:rsid w:val="00D46519"/>
    <w:rsid w:val="00D5111B"/>
    <w:rsid w:val="00D6071A"/>
    <w:rsid w:val="00D6250C"/>
    <w:rsid w:val="00D62CD4"/>
    <w:rsid w:val="00D63AE8"/>
    <w:rsid w:val="00D67A3D"/>
    <w:rsid w:val="00D71E31"/>
    <w:rsid w:val="00D72D4E"/>
    <w:rsid w:val="00D76506"/>
    <w:rsid w:val="00D8166E"/>
    <w:rsid w:val="00D8491C"/>
    <w:rsid w:val="00D9083B"/>
    <w:rsid w:val="00D9152C"/>
    <w:rsid w:val="00D93E1A"/>
    <w:rsid w:val="00D95387"/>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04CA"/>
    <w:rsid w:val="00DF2488"/>
    <w:rsid w:val="00E00991"/>
    <w:rsid w:val="00E014D4"/>
    <w:rsid w:val="00E01D3C"/>
    <w:rsid w:val="00E01F72"/>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D2300"/>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4AE1"/>
    <w:rsid w:val="00F45E93"/>
    <w:rsid w:val="00F55CCB"/>
    <w:rsid w:val="00F6545F"/>
    <w:rsid w:val="00F71E9A"/>
    <w:rsid w:val="00F73A02"/>
    <w:rsid w:val="00F82556"/>
    <w:rsid w:val="00F91CC6"/>
    <w:rsid w:val="00F974D3"/>
    <w:rsid w:val="00F97613"/>
    <w:rsid w:val="00FA15ED"/>
    <w:rsid w:val="00FB37B6"/>
    <w:rsid w:val="00FB3BAA"/>
    <w:rsid w:val="00FB626C"/>
    <w:rsid w:val="00FC2989"/>
    <w:rsid w:val="00FC651E"/>
    <w:rsid w:val="00FD02D5"/>
    <w:rsid w:val="00FD1EE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47630411">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1545089">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893D3-D94F-48E7-A8BC-B989CCCE2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26</TotalTime>
  <Pages>13</Pages>
  <Words>3845</Words>
  <Characters>20763</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24559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18</cp:revision>
  <cp:lastPrinted>2019-01-15T18:39:00Z</cp:lastPrinted>
  <dcterms:created xsi:type="dcterms:W3CDTF">2019-08-16T11:27:00Z</dcterms:created>
  <dcterms:modified xsi:type="dcterms:W3CDTF">2019-09-27T14:37:00Z</dcterms:modified>
</cp:coreProperties>
</file>